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6"/>
          <w:szCs w:val="36"/>
          <w:lang w:eastAsia="zh-CN"/>
        </w:rPr>
        <w:t>附件：</w:t>
      </w:r>
      <w:r>
        <w:rPr>
          <w:sz w:val="36"/>
          <w:szCs w:val="36"/>
        </w:rPr>
        <w:t>比选内容</w:t>
      </w:r>
      <w:r>
        <w:br w:type="textWrapping"/>
      </w:r>
      <w:r>
        <w:t>一、非标专项债项目申报发行服务方案（包括不限于申报发行流程介绍、团队人员配备、申报时间进度安排等）。</w:t>
      </w:r>
    </w:p>
    <w:p>
      <w:r>
        <w:br w:type="textWrapping"/>
      </w:r>
      <w:r>
        <w:t>二、2020年以来为安徽省内提供非标专项债申报服务业绩（入库项目清单）。</w:t>
      </w:r>
      <w:r>
        <w:br w:type="textWrapping"/>
      </w:r>
      <w:r>
        <w:br w:type="textWrapping"/>
      </w:r>
      <w:r>
        <w:t>三、</w:t>
      </w:r>
      <w:bookmarkStart w:id="0" w:name="_GoBack"/>
      <w:bookmarkEnd w:id="0"/>
      <w:r>
        <w:t>与医院历史合作情况。</w:t>
      </w:r>
    </w:p>
    <w:p>
      <w:r>
        <w:br w:type="textWrapping"/>
      </w:r>
    </w:p>
    <w:sectPr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9D21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103</Words>
  <Characters>106</Characters>
  <Lines>9</Lines>
  <Paragraphs>3</Paragraphs>
  <TotalTime>4</TotalTime>
  <ScaleCrop>false</ScaleCrop>
  <LinksUpToDate>false</LinksUpToDate>
  <CharactersWithSpaces>111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风叶</cp:lastModifiedBy>
  <dcterms:modified xsi:type="dcterms:W3CDTF">2021-10-26T06:55:36Z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