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Lines w:val="0"/>
        <w:pageBreakBefore w:val="0"/>
        <w:bidi w:val="0"/>
        <w:snapToGrid/>
        <w:spacing w:line="360" w:lineRule="auto"/>
        <w:jc w:val="center"/>
        <w:rPr>
          <w:rFonts w:ascii="宋体" w:hAnsi="宋体" w:cs="宋体"/>
          <w:b/>
          <w:bCs/>
          <w:color w:val="auto"/>
          <w:sz w:val="32"/>
          <w:szCs w:val="32"/>
          <w:lang w:val="en-US" w:eastAsia="zh-CN"/>
        </w:rPr>
      </w:pPr>
    </w:p>
    <w:p>
      <w:pPr>
        <w:pStyle w:val="6"/>
        <w:bidi w:val="0"/>
        <w:snapToGrid/>
        <w:spacing w:line="360" w:lineRule="auto"/>
        <w:jc w:val="center"/>
      </w:pPr>
      <w:r>
        <w:rPr>
          <w:rFonts w:hint="eastAsia" w:ascii="宋体" w:hAnsi="宋体" w:cs="宋体"/>
          <w:b/>
          <w:bCs/>
          <w:color w:val="auto"/>
          <w:sz w:val="32"/>
          <w:szCs w:val="32"/>
          <w:lang w:val="en-US" w:eastAsia="zh-CN"/>
        </w:rPr>
        <w:t>附件：全院</w:t>
      </w:r>
      <w:r>
        <w:rPr>
          <w:rFonts w:ascii="宋体" w:hAnsi="宋体" w:cs="宋体"/>
          <w:b/>
          <w:bCs/>
          <w:color w:val="auto"/>
          <w:sz w:val="32"/>
          <w:szCs w:val="32"/>
          <w:lang w:val="en-US" w:eastAsia="zh-CN"/>
        </w:rPr>
        <w:t>监控维保</w:t>
      </w:r>
      <w:r>
        <w:rPr>
          <w:rFonts w:hint="eastAsia" w:ascii="宋体" w:hAnsi="宋体" w:cs="宋体"/>
          <w:b/>
          <w:bCs/>
          <w:color w:val="auto"/>
          <w:sz w:val="32"/>
          <w:szCs w:val="32"/>
          <w:lang w:val="en-US" w:eastAsia="zh-CN"/>
        </w:rPr>
        <w:t>要求</w:t>
      </w:r>
    </w:p>
    <w:p>
      <w:pPr>
        <w:bidi w:val="0"/>
        <w:snapToGrid/>
        <w:spacing w:line="360" w:lineRule="auto"/>
        <w:jc w:val="center"/>
        <w:rPr>
          <w:rFonts w:ascii="宋体" w:hAnsi="宋体" w:cs="宋体"/>
          <w:b/>
          <w:bCs/>
          <w:color w:val="auto"/>
          <w:sz w:val="32"/>
          <w:szCs w:val="32"/>
          <w:lang w:val="en-US" w:eastAsia="zh-CN"/>
        </w:rPr>
      </w:pPr>
    </w:p>
    <w:p>
      <w:pPr>
        <w:pStyle w:val="4"/>
        <w:keepLines w:val="0"/>
        <w:pageBreakBefore w:val="0"/>
        <w:numPr>
          <w:ilvl w:val="0"/>
          <w:numId w:val="0"/>
        </w:numPr>
        <w:bidi w:val="0"/>
        <w:snapToGrid/>
        <w:spacing w:before="240" w:after="120" w:afterAutospacing="0" w:line="360" w:lineRule="auto"/>
        <w:ind w:firstLine="289"/>
        <w:jc w:val="left"/>
      </w:pPr>
      <w:bookmarkStart w:id="0" w:name="_Toc286736506"/>
      <w:bookmarkStart w:id="1" w:name="_Toc286569373"/>
      <w:bookmarkStart w:id="2" w:name="_Toc343005372"/>
      <w:bookmarkStart w:id="3" w:name="_Toc286569421"/>
      <w:bookmarkStart w:id="4" w:name="_Toc343006313"/>
      <w:bookmarkStart w:id="5" w:name="_Toc286736346"/>
      <w:bookmarkStart w:id="6" w:name="_Toc65479663"/>
      <w:bookmarkStart w:id="7" w:name="_Toc233101990"/>
      <w:bookmarkStart w:id="8" w:name="_Toc334510464"/>
      <w:bookmarkStart w:id="9" w:name="_Toc286736426"/>
      <w:bookmarkStart w:id="10" w:name="_Toc342999153"/>
      <w:bookmarkStart w:id="11" w:name="_Toc286569963"/>
      <w:r>
        <w:rPr>
          <w:rFonts w:eastAsia="宋体" w:cs="宋体"/>
          <w:lang w:val="en-US" w:eastAsia="zh-CN"/>
        </w:rPr>
        <w:t>1</w:t>
      </w:r>
      <w:r>
        <w:rPr>
          <w:rFonts w:ascii="宋体" w:hAnsi="宋体" w:cs="宋体"/>
          <w:lang w:val="en-US" w:eastAsia="zh-CN"/>
        </w:rPr>
        <w:t>、</w:t>
      </w:r>
      <w:r>
        <w:rPr>
          <w:rFonts w:ascii="宋体" w:hAnsi="宋体" w:cs="宋体"/>
        </w:rPr>
        <w:t>项目背景</w:t>
      </w:r>
      <w:bookmarkEnd w:id="0"/>
      <w:bookmarkEnd w:id="1"/>
      <w:bookmarkEnd w:id="2"/>
      <w:bookmarkEnd w:id="3"/>
      <w:bookmarkEnd w:id="4"/>
      <w:bookmarkEnd w:id="5"/>
      <w:bookmarkEnd w:id="6"/>
      <w:bookmarkEnd w:id="7"/>
      <w:bookmarkEnd w:id="8"/>
      <w:bookmarkEnd w:id="9"/>
      <w:bookmarkEnd w:id="10"/>
      <w:bookmarkEnd w:id="11"/>
      <w:bookmarkStart w:id="15" w:name="_GoBack"/>
      <w:bookmarkEnd w:id="15"/>
    </w:p>
    <w:p>
      <w:pPr>
        <w:keepLines w:val="0"/>
        <w:pageBreakBefore w:val="0"/>
        <w:bidi w:val="0"/>
        <w:snapToGrid/>
        <w:spacing w:line="360" w:lineRule="auto"/>
        <w:ind w:firstLine="420"/>
        <w:jc w:val="left"/>
      </w:pPr>
      <w:r>
        <w:rPr>
          <w:rFonts w:ascii="宋体" w:hAnsi="宋体" w:cs="宋体"/>
          <w:color w:val="000000"/>
          <w:lang w:val="en-US" w:eastAsia="zh-CN"/>
        </w:rPr>
        <w:t>芜湖市第五人民医院新老院区共有</w:t>
      </w:r>
      <w:r>
        <w:rPr>
          <w:rFonts w:ascii="宋体" w:hAnsi="宋体" w:eastAsia="宋体" w:cs="宋体"/>
          <w:color w:val="000000"/>
          <w:lang w:val="en-US" w:eastAsia="zh-CN"/>
        </w:rPr>
        <w:t>550</w:t>
      </w:r>
      <w:r>
        <w:rPr>
          <w:rFonts w:ascii="宋体" w:hAnsi="宋体" w:cs="宋体"/>
          <w:color w:val="000000"/>
          <w:lang w:val="en-US" w:eastAsia="zh-CN"/>
        </w:rPr>
        <w:t>路数字高清摄像机，</w:t>
      </w:r>
      <w:r>
        <w:rPr>
          <w:rFonts w:ascii="宋体" w:hAnsi="宋体" w:eastAsia="宋体" w:cs="宋体"/>
          <w:color w:val="000000"/>
          <w:lang w:val="en-US" w:eastAsia="zh-CN"/>
        </w:rPr>
        <w:t>8</w:t>
      </w:r>
      <w:r>
        <w:rPr>
          <w:rFonts w:ascii="宋体" w:hAnsi="宋体" w:cs="宋体"/>
          <w:color w:val="000000"/>
          <w:lang w:val="en-US" w:eastAsia="zh-CN"/>
        </w:rPr>
        <w:t>台存储及</w:t>
      </w:r>
      <w:r>
        <w:rPr>
          <w:rFonts w:ascii="宋体" w:hAnsi="宋体" w:eastAsia="宋体" w:cs="宋体"/>
          <w:color w:val="000000"/>
          <w:lang w:val="en-US" w:eastAsia="zh-CN"/>
        </w:rPr>
        <w:t>30</w:t>
      </w:r>
      <w:r>
        <w:rPr>
          <w:rFonts w:ascii="宋体" w:hAnsi="宋体" w:cs="宋体"/>
          <w:color w:val="000000"/>
          <w:lang w:val="en-US" w:eastAsia="zh-CN"/>
        </w:rPr>
        <w:t>台网络交换机，平台软件，电视墙，解码器等设备。因设备安装年限较长，设备存在老化及运行不稳定等问题，为保证医院院区安全环境，</w:t>
      </w:r>
      <w:r>
        <w:rPr>
          <w:rFonts w:ascii="宋体" w:hAnsi="宋体" w:cs="宋体"/>
          <w:color w:val="000000"/>
        </w:rPr>
        <w:t>因此</w:t>
      </w:r>
      <w:r>
        <w:rPr>
          <w:rFonts w:ascii="宋体" w:hAnsi="宋体" w:cs="宋体"/>
          <w:color w:val="000000"/>
          <w:lang w:val="en-US" w:eastAsia="zh-CN"/>
        </w:rPr>
        <w:t>需要</w:t>
      </w:r>
      <w:r>
        <w:rPr>
          <w:rFonts w:ascii="宋体" w:hAnsi="宋体" w:cs="宋体"/>
          <w:color w:val="000000"/>
        </w:rPr>
        <w:t>采取维保工作外委供应商的模式。</w:t>
      </w:r>
    </w:p>
    <w:p>
      <w:pPr>
        <w:pStyle w:val="4"/>
        <w:keepLines w:val="0"/>
        <w:pageBreakBefore w:val="0"/>
        <w:numPr>
          <w:ilvl w:val="0"/>
          <w:numId w:val="0"/>
        </w:numPr>
        <w:bidi w:val="0"/>
        <w:snapToGrid/>
        <w:spacing w:before="240" w:after="120" w:afterAutospacing="0" w:line="360" w:lineRule="auto"/>
        <w:ind w:firstLine="289"/>
        <w:jc w:val="left"/>
      </w:pPr>
      <w:bookmarkStart w:id="12" w:name="_Toc65479664"/>
      <w:r>
        <w:rPr>
          <w:rFonts w:eastAsia="宋体" w:cs="宋体"/>
          <w:lang w:val="en-US" w:eastAsia="zh-CN"/>
        </w:rPr>
        <w:t>2</w:t>
      </w:r>
      <w:r>
        <w:rPr>
          <w:rFonts w:ascii="宋体" w:hAnsi="宋体" w:cs="宋体"/>
          <w:lang w:val="en-US" w:eastAsia="zh-CN"/>
        </w:rPr>
        <w:t>、</w:t>
      </w:r>
      <w:r>
        <w:rPr>
          <w:rFonts w:ascii="宋体" w:hAnsi="宋体" w:cs="宋体"/>
          <w:lang w:eastAsia="zh-CN"/>
        </w:rPr>
        <w:t>项目目标</w:t>
      </w:r>
      <w:bookmarkEnd w:id="12"/>
    </w:p>
    <w:p>
      <w:pPr>
        <w:keepLines w:val="0"/>
        <w:pageBreakBefore w:val="0"/>
        <w:bidi w:val="0"/>
        <w:snapToGrid/>
        <w:spacing w:line="360" w:lineRule="auto"/>
        <w:ind w:firstLine="420"/>
        <w:jc w:val="left"/>
      </w:pPr>
      <w:r>
        <w:rPr>
          <w:rFonts w:ascii="宋体" w:hAnsi="宋体" w:cs="宋体"/>
          <w:color w:val="000000"/>
        </w:rPr>
        <w:t>本期项目维护目标：</w:t>
      </w:r>
      <w:r>
        <w:rPr>
          <w:rFonts w:ascii="宋体" w:hAnsi="宋体" w:cs="宋体"/>
          <w:color w:val="000000"/>
          <w:lang w:val="en-US" w:eastAsia="zh-CN"/>
        </w:rPr>
        <w:t>确保所有监控设备等</w:t>
      </w:r>
      <w:r>
        <w:rPr>
          <w:rFonts w:ascii="宋体" w:hAnsi="宋体" w:cs="宋体"/>
          <w:color w:val="000000"/>
        </w:rPr>
        <w:t>稳定运行，</w:t>
      </w:r>
      <w:r>
        <w:rPr>
          <w:rFonts w:ascii="宋体" w:hAnsi="宋体" w:cs="宋体"/>
          <w:color w:val="000000"/>
          <w:lang w:val="en-US" w:eastAsia="zh-CN"/>
        </w:rPr>
        <w:t>前端摄像机</w:t>
      </w:r>
      <w:r>
        <w:rPr>
          <w:rFonts w:ascii="宋体" w:hAnsi="宋体" w:cs="宋体"/>
          <w:color w:val="000000"/>
        </w:rPr>
        <w:t>、</w:t>
      </w:r>
      <w:r>
        <w:rPr>
          <w:rFonts w:ascii="宋体" w:hAnsi="宋体" w:cs="宋体"/>
          <w:color w:val="000000"/>
          <w:lang w:val="en-US" w:eastAsia="zh-CN"/>
        </w:rPr>
        <w:t>交换机、电源，后端存储、交换机及等</w:t>
      </w:r>
      <w:r>
        <w:rPr>
          <w:rFonts w:ascii="宋体" w:hAnsi="宋体" w:cs="宋体"/>
          <w:color w:val="000000"/>
        </w:rPr>
        <w:t>传输设备及链路的日常巡检，故障维修，零星监控点位增加</w:t>
      </w:r>
      <w:r>
        <w:rPr>
          <w:rFonts w:ascii="宋体" w:hAnsi="宋体" w:cs="宋体"/>
          <w:color w:val="000000"/>
          <w:lang w:eastAsia="zh-CN"/>
        </w:rPr>
        <w:t>及移位</w:t>
      </w:r>
      <w:r>
        <w:rPr>
          <w:rFonts w:ascii="宋体" w:hAnsi="宋体" w:cs="宋体"/>
          <w:color w:val="000000"/>
        </w:rPr>
        <w:t>，提供满足需求的备件备品。</w:t>
      </w:r>
    </w:p>
    <w:p>
      <w:pPr>
        <w:pStyle w:val="4"/>
        <w:keepLines w:val="0"/>
        <w:pageBreakBefore w:val="0"/>
        <w:numPr>
          <w:ilvl w:val="0"/>
          <w:numId w:val="0"/>
        </w:numPr>
        <w:bidi w:val="0"/>
        <w:snapToGrid/>
        <w:spacing w:before="240" w:after="120" w:afterAutospacing="0" w:line="360" w:lineRule="auto"/>
        <w:ind w:firstLine="289"/>
        <w:jc w:val="left"/>
      </w:pPr>
      <w:bookmarkStart w:id="13" w:name="_Toc65479665"/>
      <w:r>
        <w:rPr>
          <w:rFonts w:eastAsia="宋体" w:cs="宋体"/>
          <w:lang w:val="en-US" w:eastAsia="zh-CN"/>
        </w:rPr>
        <w:t>3</w:t>
      </w:r>
      <w:r>
        <w:rPr>
          <w:rFonts w:ascii="宋体" w:hAnsi="宋体" w:cs="宋体"/>
          <w:lang w:val="en-US" w:eastAsia="zh-CN"/>
        </w:rPr>
        <w:t>、</w:t>
      </w:r>
      <w:bookmarkEnd w:id="13"/>
      <w:r>
        <w:rPr>
          <w:rFonts w:ascii="宋体" w:hAnsi="宋体" w:cs="宋体"/>
          <w:lang w:val="en-US" w:eastAsia="zh-CN"/>
        </w:rPr>
        <w:t>项目</w:t>
      </w:r>
      <w:r>
        <w:rPr>
          <w:rFonts w:ascii="宋体" w:hAnsi="宋体" w:cs="宋体"/>
          <w:lang w:eastAsia="zh-CN"/>
        </w:rPr>
        <w:t>限价</w:t>
      </w:r>
    </w:p>
    <w:p>
      <w:pPr>
        <w:keepLines w:val="0"/>
        <w:pageBreakBefore w:val="0"/>
        <w:bidi w:val="0"/>
        <w:snapToGrid/>
        <w:spacing w:line="360" w:lineRule="auto"/>
        <w:ind w:firstLine="420"/>
        <w:jc w:val="left"/>
      </w:pPr>
      <w:r>
        <w:rPr>
          <w:rFonts w:ascii="宋体" w:hAnsi="宋体" w:eastAsia="宋体" w:cs="宋体"/>
          <w:color w:val="auto"/>
          <w:shd w:val="clear" w:fill="FFFFFF"/>
          <w:lang w:val="en-US" w:eastAsia="zh-CN"/>
        </w:rPr>
        <w:t>1</w:t>
      </w:r>
      <w:r>
        <w:rPr>
          <w:rFonts w:ascii="宋体" w:hAnsi="宋体" w:cs="宋体"/>
          <w:color w:val="auto"/>
          <w:shd w:val="clear" w:fill="FFFFFF"/>
        </w:rPr>
        <w:t>、预算金额：</w:t>
      </w:r>
      <w:r>
        <w:rPr>
          <w:rFonts w:ascii="宋体" w:hAnsi="宋体" w:eastAsia="宋体" w:cs="宋体"/>
          <w:color w:val="auto"/>
          <w:shd w:val="clear" w:fill="FFFFFF"/>
          <w:lang w:val="en-US" w:eastAsia="zh-CN"/>
        </w:rPr>
        <w:t>39000.00</w:t>
      </w:r>
      <w:r>
        <w:rPr>
          <w:rFonts w:ascii="宋体" w:hAnsi="宋体" w:cs="宋体"/>
          <w:color w:val="auto"/>
          <w:shd w:val="clear" w:fill="FFFFFF"/>
          <w:lang w:val="en-US" w:eastAsia="zh-CN"/>
        </w:rPr>
        <w:t>元</w:t>
      </w:r>
      <w:r>
        <w:rPr>
          <w:rFonts w:ascii="宋体" w:hAnsi="宋体" w:eastAsia="宋体" w:cs="宋体"/>
          <w:color w:val="auto"/>
          <w:shd w:val="clear" w:fill="FFFFFF"/>
          <w:lang w:val="en-US" w:eastAsia="zh-CN"/>
        </w:rPr>
        <w:t>/</w:t>
      </w:r>
      <w:r>
        <w:rPr>
          <w:rFonts w:ascii="宋体" w:hAnsi="宋体" w:cs="宋体"/>
          <w:color w:val="auto"/>
          <w:shd w:val="clear" w:fill="FFFFFF"/>
          <w:lang w:val="en-US" w:eastAsia="zh-CN"/>
        </w:rPr>
        <w:t>年</w:t>
      </w:r>
      <w:r>
        <w:rPr>
          <w:rFonts w:ascii="宋体" w:hAnsi="宋体" w:cs="宋体"/>
          <w:color w:val="auto"/>
          <w:shd w:val="clear" w:fill="FFFFFF"/>
        </w:rPr>
        <w:t> </w:t>
      </w:r>
    </w:p>
    <w:p>
      <w:pPr>
        <w:keepLines w:val="0"/>
        <w:pageBreakBefore w:val="0"/>
        <w:bidi w:val="0"/>
        <w:snapToGrid/>
        <w:spacing w:line="360" w:lineRule="auto"/>
        <w:ind w:firstLine="420"/>
        <w:jc w:val="left"/>
      </w:pPr>
      <w:r>
        <w:rPr>
          <w:rFonts w:ascii="宋体" w:hAnsi="宋体" w:eastAsia="宋体" w:cs="宋体"/>
          <w:color w:val="auto"/>
          <w:shd w:val="clear" w:fill="FFFFFF"/>
          <w:lang w:val="en-US" w:eastAsia="zh-CN"/>
        </w:rPr>
        <w:t>2</w:t>
      </w:r>
      <w:r>
        <w:rPr>
          <w:rFonts w:ascii="宋体" w:hAnsi="宋体" w:cs="宋体"/>
          <w:color w:val="auto"/>
          <w:shd w:val="clear" w:fill="FFFFFF"/>
        </w:rPr>
        <w:t>、最高限价：</w:t>
      </w:r>
      <w:r>
        <w:rPr>
          <w:rFonts w:ascii="宋体" w:hAnsi="宋体" w:eastAsia="宋体" w:cs="宋体"/>
          <w:color w:val="auto"/>
          <w:shd w:val="clear" w:fill="FFFFFF"/>
          <w:lang w:val="en-US" w:eastAsia="zh-CN"/>
        </w:rPr>
        <w:t>39000.00</w:t>
      </w:r>
      <w:r>
        <w:rPr>
          <w:rFonts w:ascii="宋体" w:hAnsi="宋体" w:cs="宋体"/>
          <w:color w:val="auto"/>
          <w:shd w:val="clear" w:fill="FFFFFF"/>
          <w:lang w:val="en-US" w:eastAsia="zh-CN"/>
        </w:rPr>
        <w:t>元</w:t>
      </w:r>
      <w:r>
        <w:rPr>
          <w:rFonts w:ascii="宋体" w:hAnsi="宋体" w:eastAsia="宋体" w:cs="宋体"/>
          <w:color w:val="auto"/>
          <w:shd w:val="clear" w:fill="FFFFFF"/>
          <w:lang w:val="en-US" w:eastAsia="zh-CN"/>
        </w:rPr>
        <w:t>/</w:t>
      </w:r>
      <w:r>
        <w:rPr>
          <w:rFonts w:ascii="宋体" w:hAnsi="宋体" w:cs="宋体"/>
          <w:color w:val="auto"/>
          <w:shd w:val="clear" w:fill="FFFFFF"/>
          <w:lang w:val="en-US" w:eastAsia="zh-CN"/>
        </w:rPr>
        <w:t>年</w:t>
      </w:r>
    </w:p>
    <w:p>
      <w:pPr>
        <w:keepLines w:val="0"/>
        <w:pageBreakBefore w:val="0"/>
        <w:bidi w:val="0"/>
        <w:snapToGrid/>
        <w:spacing w:line="360" w:lineRule="auto"/>
        <w:ind w:firstLine="420"/>
        <w:jc w:val="left"/>
      </w:pPr>
      <w:r>
        <w:rPr>
          <w:rFonts w:ascii="宋体" w:hAnsi="宋体" w:eastAsia="宋体" w:cs="宋体"/>
          <w:color w:val="auto"/>
          <w:shd w:val="clear" w:fill="FFFFFF"/>
          <w:lang w:val="en-US" w:eastAsia="zh-CN"/>
        </w:rPr>
        <w:t>3</w:t>
      </w:r>
      <w:r>
        <w:rPr>
          <w:rFonts w:ascii="宋体" w:hAnsi="宋体" w:cs="宋体"/>
          <w:color w:val="auto"/>
          <w:shd w:val="clear" w:fill="FFFFFF"/>
        </w:rPr>
        <w:t>、合同履行期限：</w:t>
      </w:r>
      <w:r>
        <w:rPr>
          <w:rFonts w:ascii="宋体" w:hAnsi="宋体" w:cs="宋体"/>
          <w:color w:val="auto"/>
          <w:shd w:val="clear" w:fill="FFFFFF"/>
          <w:lang w:val="en-US" w:eastAsia="zh-CN"/>
        </w:rPr>
        <w:t>三年（</w:t>
      </w:r>
      <w:r>
        <w:rPr>
          <w:rFonts w:ascii="宋体" w:hAnsi="宋体" w:eastAsia="宋体" w:cs="宋体"/>
          <w:color w:val="auto"/>
          <w:shd w:val="clear" w:fill="FFFFFF"/>
          <w:lang w:val="en-US" w:eastAsia="zh-CN"/>
        </w:rPr>
        <w:t>1+1+1</w:t>
      </w:r>
      <w:r>
        <w:rPr>
          <w:rFonts w:ascii="宋体" w:hAnsi="宋体" w:cs="宋体"/>
          <w:color w:val="auto"/>
          <w:shd w:val="clear" w:fill="FFFFFF"/>
          <w:lang w:val="en-US" w:eastAsia="zh-CN"/>
        </w:rPr>
        <w:t>），</w:t>
      </w:r>
      <w:r>
        <w:rPr>
          <w:rFonts w:ascii="宋体" w:hAnsi="宋体" w:cs="宋体"/>
          <w:sz w:val="21"/>
          <w:szCs w:val="21"/>
        </w:rPr>
        <w:t>合同一年一签。上一合同期满，考核达到续签标准的，可以续签下一年合同。若价格有变化或服务质量达不到续签标准的，</w:t>
      </w:r>
      <w:r>
        <w:rPr>
          <w:rFonts w:ascii="宋体" w:hAnsi="宋体" w:cs="宋体"/>
          <w:sz w:val="21"/>
          <w:szCs w:val="21"/>
          <w:lang w:eastAsia="zh-CN"/>
        </w:rPr>
        <w:t>院</w:t>
      </w:r>
      <w:r>
        <w:rPr>
          <w:rFonts w:ascii="宋体" w:hAnsi="宋体" w:cs="宋体"/>
          <w:sz w:val="21"/>
          <w:szCs w:val="21"/>
        </w:rPr>
        <w:t>方有权单方面终止合同。</w:t>
      </w:r>
    </w:p>
    <w:p>
      <w:pPr>
        <w:keepLines w:val="0"/>
        <w:pageBreakBefore w:val="0"/>
        <w:bidi w:val="0"/>
        <w:snapToGrid/>
        <w:spacing w:line="360" w:lineRule="auto"/>
        <w:ind w:firstLine="482"/>
        <w:jc w:val="left"/>
      </w:pPr>
      <w:bookmarkStart w:id="14" w:name="_Toc65479666"/>
      <w:r>
        <w:rPr>
          <w:rFonts w:ascii="宋体" w:hAnsi="宋体" w:eastAsia="宋体" w:cs="宋体"/>
          <w:b/>
          <w:bCs/>
          <w:sz w:val="24"/>
          <w:szCs w:val="24"/>
          <w:lang w:val="en-US" w:eastAsia="zh-CN"/>
        </w:rPr>
        <w:t>4</w:t>
      </w:r>
      <w:r>
        <w:rPr>
          <w:rFonts w:ascii="宋体" w:hAnsi="宋体" w:cs="宋体"/>
          <w:b/>
          <w:bCs/>
          <w:sz w:val="24"/>
          <w:szCs w:val="24"/>
          <w:lang w:val="en-US" w:eastAsia="zh-CN"/>
        </w:rPr>
        <w:t>、系统维护</w:t>
      </w:r>
      <w:r>
        <w:rPr>
          <w:rFonts w:ascii="宋体" w:hAnsi="宋体" w:cs="宋体"/>
          <w:b/>
          <w:bCs/>
          <w:sz w:val="24"/>
          <w:szCs w:val="24"/>
          <w:lang w:eastAsia="zh-CN"/>
        </w:rPr>
        <w:t>要求</w:t>
      </w:r>
      <w:bookmarkEnd w:id="14"/>
    </w:p>
    <w:p>
      <w:pPr>
        <w:keepLines w:val="0"/>
        <w:pageBreakBefore w:val="0"/>
        <w:numPr>
          <w:ilvl w:val="0"/>
          <w:numId w:val="0"/>
        </w:numPr>
        <w:snapToGrid/>
        <w:spacing w:line="360" w:lineRule="auto"/>
        <w:ind w:left="420" w:firstLine="0"/>
        <w:jc w:val="left"/>
        <w:rPr>
          <w:rFonts w:ascii="宋体" w:hAnsi="宋体" w:cs="宋体"/>
        </w:rPr>
      </w:pPr>
      <w:r>
        <w:rPr>
          <w:rFonts w:ascii="宋体" w:hAnsi="宋体" w:cs="宋体"/>
        </w:rPr>
        <w:t xml:space="preserve">      1、乙方需提供7*24小时的现场售后服务，并在接到甲方报修电话后，2个小时内赶到故障现场。</w:t>
      </w:r>
    </w:p>
    <w:p>
      <w:pPr>
        <w:keepLines w:val="0"/>
        <w:pageBreakBefore w:val="0"/>
        <w:numPr>
          <w:ilvl w:val="0"/>
          <w:numId w:val="0"/>
        </w:numPr>
        <w:snapToGrid/>
        <w:spacing w:line="360" w:lineRule="auto"/>
        <w:ind w:left="840" w:firstLine="0"/>
        <w:jc w:val="left"/>
        <w:rPr>
          <w:rFonts w:ascii="宋体" w:hAnsi="宋体" w:cs="宋体"/>
        </w:rPr>
      </w:pPr>
      <w:r>
        <w:rPr>
          <w:rFonts w:ascii="宋体" w:hAnsi="宋体" w:cs="宋体"/>
        </w:rPr>
        <w:t xml:space="preserve">      2、院区所有监控设备每月固定检查一次。</w:t>
      </w:r>
    </w:p>
    <w:p>
      <w:pPr>
        <w:keepLines w:val="0"/>
        <w:pageBreakBefore w:val="0"/>
        <w:numPr>
          <w:ilvl w:val="0"/>
          <w:numId w:val="0"/>
        </w:numPr>
        <w:snapToGrid/>
        <w:spacing w:line="360" w:lineRule="auto"/>
        <w:ind w:left="420" w:firstLine="0"/>
        <w:jc w:val="left"/>
        <w:rPr>
          <w:rFonts w:ascii="宋体" w:hAnsi="宋体" w:cs="宋体"/>
        </w:rPr>
      </w:pPr>
      <w:r>
        <w:rPr>
          <w:rFonts w:ascii="宋体" w:hAnsi="宋体" w:cs="宋体"/>
        </w:rPr>
        <w:t xml:space="preserve">       3、遇到紧急事件时，乙方应在1个小时内赶到现场并配合甲方完成相关工作。</w:t>
      </w:r>
    </w:p>
    <w:p>
      <w:pPr>
        <w:keepLines w:val="0"/>
        <w:pageBreakBefore w:val="0"/>
        <w:numPr>
          <w:ilvl w:val="0"/>
          <w:numId w:val="0"/>
        </w:numPr>
        <w:snapToGrid/>
        <w:spacing w:line="360" w:lineRule="auto"/>
        <w:ind w:left="420" w:firstLine="0"/>
        <w:jc w:val="left"/>
        <w:rPr>
          <w:rFonts w:ascii="宋体" w:hAnsi="宋体" w:cs="宋体"/>
        </w:rPr>
      </w:pPr>
      <w:r>
        <w:rPr>
          <w:rFonts w:ascii="宋体" w:hAnsi="宋体" w:cs="宋体"/>
        </w:rPr>
        <w:t xml:space="preserve">       4、乙方需对现有线路进行规范化整理，每个线路需前后端标签完整，并出具相应系统图及走线图；并需要对每台设备需作详细功能备注。</w:t>
      </w:r>
    </w:p>
    <w:p>
      <w:pPr>
        <w:keepLines w:val="0"/>
        <w:pageBreakBefore w:val="0"/>
        <w:numPr>
          <w:ilvl w:val="0"/>
          <w:numId w:val="0"/>
        </w:numPr>
        <w:snapToGrid/>
        <w:spacing w:line="360" w:lineRule="auto"/>
        <w:ind w:left="420" w:firstLine="0"/>
        <w:jc w:val="left"/>
        <w:rPr>
          <w:rFonts w:ascii="宋体" w:hAnsi="宋体" w:cs="宋体"/>
        </w:rPr>
      </w:pPr>
      <w:r>
        <w:rPr>
          <w:rFonts w:ascii="宋体" w:hAnsi="宋体" w:cs="宋体"/>
        </w:rPr>
        <w:t xml:space="preserve">       5、由于设备使用年限较长，后端存储及平台故障时需要具有与此相关专业技能的人员进行维护，为保证系统能稳定运行，投标单位需提供相关厂家技术支持证明文件。</w:t>
      </w:r>
    </w:p>
    <w:p>
      <w:pPr>
        <w:keepLines w:val="0"/>
        <w:pageBreakBefore w:val="0"/>
        <w:numPr>
          <w:ilvl w:val="0"/>
          <w:numId w:val="0"/>
        </w:numPr>
        <w:snapToGrid/>
        <w:spacing w:line="360" w:lineRule="auto"/>
        <w:ind w:left="420" w:firstLine="0"/>
        <w:jc w:val="left"/>
        <w:rPr>
          <w:rFonts w:ascii="宋体" w:hAnsi="宋体" w:cs="宋体"/>
        </w:rPr>
      </w:pPr>
      <w:r>
        <w:rPr>
          <w:rFonts w:ascii="宋体" w:hAnsi="宋体" w:cs="宋体"/>
        </w:rPr>
        <w:t xml:space="preserve">        6、每半年度，提供核心设备原厂综合巡检一次，提供巡检报告并提供改善建议；</w:t>
      </w:r>
    </w:p>
    <w:p>
      <w:pPr>
        <w:keepLines w:val="0"/>
        <w:pageBreakBefore w:val="0"/>
        <w:numPr>
          <w:ilvl w:val="0"/>
          <w:numId w:val="0"/>
        </w:numPr>
        <w:snapToGrid/>
        <w:spacing w:line="360" w:lineRule="auto"/>
        <w:ind w:left="420" w:firstLine="0"/>
        <w:jc w:val="left"/>
        <w:rPr>
          <w:rFonts w:ascii="宋体" w:hAnsi="宋体" w:cs="宋体"/>
        </w:rPr>
      </w:pPr>
      <w:r>
        <w:rPr>
          <w:rFonts w:ascii="宋体" w:hAnsi="宋体" w:cs="宋体"/>
        </w:rPr>
        <w:t xml:space="preserve">         7、为保证整体系统能够稳定运行，投标单位需提供有三级医院三年以上监控维护服务相关经验的证明文件。</w:t>
      </w:r>
    </w:p>
    <w:p>
      <w:pPr>
        <w:keepLines w:val="0"/>
        <w:pageBreakBefore w:val="0"/>
        <w:numPr>
          <w:ilvl w:val="0"/>
          <w:numId w:val="0"/>
        </w:numPr>
        <w:snapToGrid/>
        <w:spacing w:line="360" w:lineRule="auto"/>
        <w:ind w:left="420" w:firstLine="0"/>
        <w:jc w:val="left"/>
        <w:rPr>
          <w:rFonts w:ascii="宋体" w:hAnsi="宋体" w:cs="宋体"/>
        </w:rPr>
      </w:pPr>
      <w:r>
        <w:rPr>
          <w:rFonts w:ascii="宋体" w:hAnsi="宋体" w:cs="宋体"/>
        </w:rPr>
        <w:t xml:space="preserve">          8、每年对甲方使用人员不得少于两次专业培训，培训内容包括日常专业操作、设备原理、日常故障排查和设备维修技能等。</w:t>
      </w:r>
    </w:p>
    <w:p>
      <w:pPr>
        <w:keepLines w:val="0"/>
        <w:pageBreakBefore w:val="0"/>
        <w:numPr>
          <w:ilvl w:val="0"/>
          <w:numId w:val="0"/>
        </w:numPr>
        <w:bidi w:val="0"/>
        <w:snapToGrid/>
        <w:spacing w:line="360" w:lineRule="auto"/>
        <w:ind w:left="420" w:firstLine="0"/>
        <w:jc w:val="left"/>
        <w:rPr>
          <w:rFonts w:ascii="宋体" w:hAnsi="宋体" w:eastAsia="宋体" w:cs="宋体"/>
          <w:kern w:val="2"/>
          <w:sz w:val="21"/>
          <w:szCs w:val="21"/>
          <w:lang w:val="en-US" w:eastAsia="zh-CN" w:bidi="ar-SA"/>
        </w:rPr>
      </w:pPr>
      <w:r>
        <w:rPr>
          <w:rFonts w:ascii="宋体" w:hAnsi="宋体" w:cs="宋体"/>
          <w:kern w:val="2"/>
          <w:sz w:val="21"/>
          <w:szCs w:val="21"/>
          <w:lang w:val="en-US" w:eastAsia="zh-CN" w:bidi="ar-SA"/>
        </w:rPr>
        <w:t xml:space="preserve">  </w:t>
      </w:r>
      <w:r>
        <w:rPr>
          <w:rFonts w:ascii="宋体" w:hAnsi="宋体" w:eastAsia="宋体" w:cs="宋体"/>
          <w:kern w:val="2"/>
          <w:sz w:val="21"/>
          <w:szCs w:val="21"/>
          <w:lang w:val="en-US" w:eastAsia="zh-CN" w:bidi="ar-SA"/>
        </w:rPr>
        <w:t>9</w:t>
      </w:r>
      <w:r>
        <w:rPr>
          <w:rFonts w:ascii="宋体" w:hAnsi="宋体" w:cs="宋体"/>
          <w:kern w:val="2"/>
          <w:sz w:val="21"/>
          <w:szCs w:val="21"/>
          <w:lang w:val="en-US" w:eastAsia="zh-CN" w:bidi="ar-SA"/>
        </w:rPr>
        <w:t>、前端设备故障</w:t>
      </w:r>
      <w:r>
        <w:rPr>
          <w:rFonts w:ascii="宋体" w:hAnsi="宋体" w:eastAsia="宋体" w:cs="宋体"/>
          <w:kern w:val="2"/>
          <w:sz w:val="21"/>
          <w:szCs w:val="21"/>
          <w:lang w:val="en-US" w:eastAsia="zh-CN" w:bidi="ar-SA"/>
        </w:rPr>
        <w:t>3</w:t>
      </w:r>
      <w:r>
        <w:rPr>
          <w:rFonts w:ascii="宋体" w:hAnsi="宋体" w:cs="宋体"/>
          <w:kern w:val="2"/>
          <w:sz w:val="21"/>
          <w:szCs w:val="21"/>
          <w:lang w:val="en-US" w:eastAsia="zh-CN" w:bidi="ar-SA"/>
        </w:rPr>
        <w:t>小时内修复，后端设备</w:t>
      </w:r>
      <w:r>
        <w:rPr>
          <w:rFonts w:ascii="宋体" w:hAnsi="宋体" w:eastAsia="宋体" w:cs="宋体"/>
          <w:kern w:val="2"/>
          <w:sz w:val="21"/>
          <w:szCs w:val="21"/>
          <w:lang w:val="en-US" w:eastAsia="zh-CN" w:bidi="ar-SA"/>
        </w:rPr>
        <w:t>6</w:t>
      </w:r>
      <w:r>
        <w:rPr>
          <w:rFonts w:ascii="宋体" w:hAnsi="宋体" w:cs="宋体"/>
          <w:kern w:val="2"/>
          <w:sz w:val="21"/>
          <w:szCs w:val="21"/>
          <w:lang w:val="en-US" w:eastAsia="zh-CN" w:bidi="ar-SA"/>
        </w:rPr>
        <w:t>小时内修复，重大事故</w:t>
      </w:r>
      <w:r>
        <w:rPr>
          <w:rFonts w:ascii="宋体" w:hAnsi="宋体" w:eastAsia="宋体" w:cs="宋体"/>
          <w:kern w:val="2"/>
          <w:sz w:val="21"/>
          <w:szCs w:val="21"/>
          <w:lang w:val="en-US" w:eastAsia="zh-CN" w:bidi="ar-SA"/>
        </w:rPr>
        <w:t>6</w:t>
      </w:r>
      <w:r>
        <w:rPr>
          <w:rFonts w:ascii="宋体" w:hAnsi="宋体" w:cs="宋体"/>
          <w:kern w:val="2"/>
          <w:sz w:val="21"/>
          <w:szCs w:val="21"/>
          <w:lang w:val="en-US" w:eastAsia="zh-CN" w:bidi="ar-SA"/>
        </w:rPr>
        <w:t>小时内修复。修复后必须由甲方相关人员确认。</w:t>
      </w:r>
    </w:p>
    <w:p>
      <w:pPr>
        <w:keepLines w:val="0"/>
        <w:pageBreakBefore w:val="0"/>
        <w:numPr>
          <w:ilvl w:val="0"/>
          <w:numId w:val="0"/>
        </w:numPr>
        <w:bidi w:val="0"/>
        <w:snapToGrid/>
        <w:spacing w:line="360" w:lineRule="auto"/>
        <w:ind w:left="420" w:firstLine="0"/>
        <w:jc w:val="left"/>
        <w:rPr>
          <w:rFonts w:ascii="宋体" w:hAnsi="宋体" w:eastAsia="宋体" w:cs="宋体"/>
          <w:kern w:val="2"/>
          <w:sz w:val="21"/>
          <w:szCs w:val="21"/>
          <w:lang w:val="en-US" w:eastAsia="zh-CN" w:bidi="ar-SA"/>
        </w:rPr>
      </w:pPr>
      <w:r>
        <w:rPr>
          <w:rFonts w:ascii="宋体" w:hAnsi="宋体" w:cs="宋体"/>
          <w:kern w:val="2"/>
          <w:sz w:val="21"/>
          <w:szCs w:val="21"/>
          <w:lang w:val="en-US" w:eastAsia="zh-CN" w:bidi="ar-SA"/>
        </w:rPr>
        <w:t xml:space="preserve">  </w:t>
      </w:r>
      <w:r>
        <w:rPr>
          <w:rFonts w:ascii="宋体" w:hAnsi="宋体" w:eastAsia="宋体" w:cs="宋体"/>
          <w:kern w:val="2"/>
          <w:sz w:val="21"/>
          <w:szCs w:val="21"/>
          <w:lang w:val="en-US" w:eastAsia="zh-CN" w:bidi="ar-SA"/>
        </w:rPr>
        <w:t>10</w:t>
      </w:r>
      <w:r>
        <w:rPr>
          <w:rFonts w:ascii="宋体" w:hAnsi="宋体" w:cs="宋体"/>
          <w:kern w:val="2"/>
          <w:sz w:val="21"/>
          <w:szCs w:val="21"/>
          <w:lang w:val="en-US" w:eastAsia="zh-CN" w:bidi="ar-SA"/>
        </w:rPr>
        <w:t>、若设备出现损坏或不能满足正常使用时，乙方应及时提供备品备件。</w:t>
      </w:r>
    </w:p>
    <w:p>
      <w:pPr>
        <w:keepLines w:val="0"/>
        <w:pageBreakBefore w:val="0"/>
        <w:numPr>
          <w:ilvl w:val="0"/>
          <w:numId w:val="0"/>
        </w:numPr>
        <w:bidi w:val="0"/>
        <w:snapToGrid/>
        <w:spacing w:line="360" w:lineRule="auto"/>
        <w:ind w:left="420" w:firstLine="0"/>
        <w:jc w:val="left"/>
        <w:rPr>
          <w:rFonts w:ascii="宋体" w:hAnsi="宋体" w:eastAsia="宋体" w:cs="宋体"/>
          <w:kern w:val="2"/>
          <w:sz w:val="21"/>
          <w:szCs w:val="21"/>
          <w:lang w:val="en-US" w:eastAsia="zh-CN" w:bidi="ar-SA"/>
        </w:rPr>
      </w:pPr>
      <w:r>
        <w:rPr>
          <w:rFonts w:ascii="宋体" w:hAnsi="宋体" w:cs="宋体"/>
          <w:kern w:val="2"/>
          <w:sz w:val="21"/>
          <w:szCs w:val="21"/>
          <w:lang w:val="en-US" w:eastAsia="zh-CN" w:bidi="ar-SA"/>
        </w:rPr>
        <w:t xml:space="preserve">  </w:t>
      </w:r>
      <w:r>
        <w:rPr>
          <w:rFonts w:ascii="宋体" w:hAnsi="宋体" w:eastAsia="宋体" w:cs="宋体"/>
          <w:kern w:val="2"/>
          <w:sz w:val="21"/>
          <w:szCs w:val="21"/>
          <w:lang w:val="en-US" w:eastAsia="zh-CN" w:bidi="ar-SA"/>
        </w:rPr>
        <w:t>11</w:t>
      </w:r>
      <w:r>
        <w:rPr>
          <w:rFonts w:ascii="宋体" w:hAnsi="宋体" w:cs="宋体"/>
          <w:kern w:val="2"/>
          <w:sz w:val="21"/>
          <w:szCs w:val="21"/>
          <w:lang w:val="en-US" w:eastAsia="zh-CN" w:bidi="ar-SA"/>
        </w:rPr>
        <w:t>、当甲方安全管理部门在根据自身使用需求，需针对个别或者部分监控点位进行迁移时，乙方应予以积极配合；。</w:t>
      </w:r>
    </w:p>
    <w:p>
      <w:pPr>
        <w:keepLines w:val="0"/>
        <w:pageBreakBefore w:val="0"/>
        <w:numPr>
          <w:ilvl w:val="0"/>
          <w:numId w:val="0"/>
        </w:numPr>
        <w:bidi w:val="0"/>
        <w:snapToGrid/>
        <w:spacing w:line="360" w:lineRule="auto"/>
        <w:ind w:left="420" w:firstLine="0"/>
        <w:jc w:val="left"/>
        <w:rPr>
          <w:rFonts w:ascii="宋体" w:hAnsi="宋体" w:eastAsia="宋体" w:cs="宋体"/>
          <w:kern w:val="2"/>
          <w:sz w:val="21"/>
          <w:szCs w:val="21"/>
          <w:lang w:val="en-US" w:eastAsia="zh-CN" w:bidi="ar-SA"/>
        </w:rPr>
      </w:pPr>
      <w:r>
        <w:rPr>
          <w:rFonts w:ascii="宋体" w:hAnsi="宋体" w:cs="宋体"/>
          <w:kern w:val="2"/>
          <w:sz w:val="21"/>
          <w:szCs w:val="21"/>
          <w:lang w:val="en-US" w:eastAsia="zh-CN" w:bidi="ar-SA"/>
        </w:rPr>
        <w:t xml:space="preserve">  </w:t>
      </w:r>
      <w:r>
        <w:rPr>
          <w:rFonts w:ascii="宋体" w:hAnsi="宋体" w:eastAsia="宋体" w:cs="宋体"/>
          <w:kern w:val="2"/>
          <w:sz w:val="21"/>
          <w:szCs w:val="21"/>
          <w:lang w:val="en-US" w:eastAsia="zh-CN" w:bidi="ar-SA"/>
        </w:rPr>
        <w:t>12</w:t>
      </w:r>
      <w:r>
        <w:rPr>
          <w:rFonts w:ascii="宋体" w:hAnsi="宋体" w:cs="宋体"/>
          <w:kern w:val="2"/>
          <w:sz w:val="21"/>
          <w:szCs w:val="21"/>
          <w:lang w:val="en-US" w:eastAsia="zh-CN" w:bidi="ar-SA"/>
        </w:rPr>
        <w:t>、外部线缆损坏，无法修复的，需重新放线。乙方提供不超过</w:t>
      </w:r>
      <w:r>
        <w:rPr>
          <w:rFonts w:ascii="宋体" w:hAnsi="宋体" w:eastAsia="宋体" w:cs="宋体"/>
          <w:kern w:val="2"/>
          <w:sz w:val="21"/>
          <w:szCs w:val="21"/>
          <w:lang w:val="en-US" w:eastAsia="zh-CN" w:bidi="ar-SA"/>
        </w:rPr>
        <w:t>30</w:t>
      </w:r>
      <w:r>
        <w:rPr>
          <w:rFonts w:ascii="宋体" w:hAnsi="宋体" w:cs="宋体"/>
          <w:kern w:val="2"/>
          <w:sz w:val="21"/>
          <w:szCs w:val="21"/>
          <w:lang w:val="en-US" w:eastAsia="zh-CN" w:bidi="ar-SA"/>
        </w:rPr>
        <w:t>米的免费线缆敷设服务，超过</w:t>
      </w:r>
      <w:r>
        <w:rPr>
          <w:rFonts w:ascii="宋体" w:hAnsi="宋体" w:eastAsia="宋体" w:cs="宋体"/>
          <w:kern w:val="2"/>
          <w:sz w:val="21"/>
          <w:szCs w:val="21"/>
          <w:lang w:val="en-US" w:eastAsia="zh-CN" w:bidi="ar-SA"/>
        </w:rPr>
        <w:t>30</w:t>
      </w:r>
      <w:r>
        <w:rPr>
          <w:rFonts w:ascii="宋体" w:hAnsi="宋体" w:cs="宋体"/>
          <w:kern w:val="2"/>
          <w:sz w:val="21"/>
          <w:szCs w:val="21"/>
          <w:lang w:val="en-US" w:eastAsia="zh-CN" w:bidi="ar-SA"/>
        </w:rPr>
        <w:t>米部分费用，由甲方支付。</w:t>
      </w:r>
    </w:p>
    <w:p>
      <w:pPr>
        <w:keepLines w:val="0"/>
        <w:pageBreakBefore w:val="0"/>
        <w:numPr>
          <w:ilvl w:val="0"/>
          <w:numId w:val="0"/>
        </w:numPr>
        <w:snapToGrid/>
        <w:spacing w:line="360" w:lineRule="auto"/>
        <w:ind w:left="420" w:firstLine="0"/>
        <w:jc w:val="left"/>
      </w:pPr>
      <w:r>
        <w:t xml:space="preserve">             13、线缆敷设等工作，应严格按照国家弱电安装相关部分执行。</w:t>
      </w:r>
    </w:p>
    <w:p>
      <w:pPr>
        <w:pStyle w:val="4"/>
        <w:keepLines w:val="0"/>
        <w:pageBreakBefore w:val="0"/>
        <w:numPr>
          <w:ilvl w:val="0"/>
          <w:numId w:val="2"/>
        </w:numPr>
        <w:bidi w:val="0"/>
        <w:snapToGrid/>
        <w:spacing w:before="240" w:after="120" w:afterAutospacing="0" w:line="360" w:lineRule="auto"/>
        <w:ind w:firstLine="289"/>
        <w:jc w:val="left"/>
      </w:pPr>
      <w:r>
        <w:rPr>
          <w:rFonts w:ascii="宋体" w:hAnsi="宋体" w:cs="宋体"/>
          <w:lang w:val="en-US" w:eastAsia="zh-CN"/>
        </w:rPr>
        <w:t>需要提供的备品备件</w:t>
      </w:r>
    </w:p>
    <w:p>
      <w:pPr>
        <w:numPr>
          <w:ilvl w:val="0"/>
          <w:numId w:val="0"/>
        </w:numPr>
        <w:rPr>
          <w:rFonts w:ascii="宋体" w:hAnsi="宋体" w:eastAsia="宋体" w:cs="宋体"/>
          <w:lang w:eastAsia="zh-CN"/>
        </w:rPr>
      </w:pPr>
    </w:p>
    <w:tbl>
      <w:tblPr>
        <w:tblStyle w:val="13"/>
        <w:tblW w:w="10325" w:type="dxa"/>
        <w:tblInd w:w="93" w:type="dxa"/>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
      <w:tblGrid>
        <w:gridCol w:w="1806"/>
        <w:gridCol w:w="1935"/>
        <w:gridCol w:w="2399"/>
        <w:gridCol w:w="1472"/>
        <w:gridCol w:w="1348"/>
        <w:gridCol w:w="1365"/>
      </w:tblGrid>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72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FFFFFF"/>
            <w:vAlign w:val="center"/>
          </w:tcPr>
          <w:p>
            <w:pPr>
              <w:keepNext w:val="0"/>
              <w:keepLines w:val="0"/>
              <w:widowControl/>
              <w:jc w:val="center"/>
              <w:textAlignment w:val="center"/>
            </w:pPr>
            <w:r>
              <w:rPr>
                <w:rFonts w:ascii="宋体" w:hAnsi="宋体" w:cs="宋体"/>
                <w:b/>
                <w:bCs/>
                <w:i w:val="0"/>
                <w:iCs w:val="0"/>
                <w:color w:val="535353"/>
                <w:kern w:val="0"/>
                <w:sz w:val="24"/>
                <w:szCs w:val="24"/>
                <w:u w:val="none"/>
                <w:lang w:val="en-US" w:eastAsia="zh-CN" w:bidi="ar"/>
              </w:rPr>
              <w:t>名称</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FFFFFF"/>
            <w:vAlign w:val="center"/>
          </w:tcPr>
          <w:p>
            <w:pPr>
              <w:keepNext w:val="0"/>
              <w:keepLines w:val="0"/>
              <w:widowControl/>
              <w:jc w:val="center"/>
              <w:textAlignment w:val="center"/>
            </w:pPr>
            <w:r>
              <w:rPr>
                <w:rFonts w:ascii="宋体" w:hAnsi="宋体" w:cs="宋体"/>
                <w:b/>
                <w:bCs/>
                <w:i w:val="0"/>
                <w:iCs w:val="0"/>
                <w:color w:val="535353"/>
                <w:kern w:val="0"/>
                <w:sz w:val="24"/>
                <w:szCs w:val="24"/>
                <w:u w:val="none"/>
                <w:lang w:val="en-US" w:eastAsia="zh-CN" w:bidi="ar"/>
              </w:rPr>
              <w:t>品牌</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FFFFFF"/>
            <w:vAlign w:val="center"/>
          </w:tcPr>
          <w:p>
            <w:pPr>
              <w:keepNext w:val="0"/>
              <w:keepLines w:val="0"/>
              <w:widowControl/>
              <w:jc w:val="center"/>
              <w:textAlignment w:val="center"/>
            </w:pPr>
            <w:r>
              <w:rPr>
                <w:rFonts w:ascii="宋体" w:hAnsi="宋体" w:cs="宋体"/>
                <w:b/>
                <w:bCs/>
                <w:i w:val="0"/>
                <w:iCs w:val="0"/>
                <w:color w:val="535353"/>
                <w:kern w:val="0"/>
                <w:sz w:val="24"/>
                <w:szCs w:val="24"/>
                <w:u w:val="none"/>
                <w:lang w:val="en-US" w:eastAsia="zh-CN" w:bidi="ar"/>
              </w:rPr>
              <w:t>型号</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FFFFFF"/>
            <w:vAlign w:val="center"/>
          </w:tcPr>
          <w:p>
            <w:pPr>
              <w:keepNext w:val="0"/>
              <w:keepLines w:val="0"/>
              <w:widowControl/>
              <w:jc w:val="center"/>
              <w:textAlignment w:val="center"/>
            </w:pPr>
            <w:r>
              <w:rPr>
                <w:rFonts w:ascii="宋体" w:hAnsi="宋体" w:cs="宋体"/>
                <w:b/>
                <w:bCs/>
                <w:i w:val="0"/>
                <w:iCs w:val="0"/>
                <w:color w:val="535353"/>
                <w:kern w:val="0"/>
                <w:sz w:val="24"/>
                <w:szCs w:val="24"/>
                <w:u w:val="none"/>
                <w:lang w:val="en-US" w:eastAsia="zh-CN" w:bidi="ar"/>
              </w:rPr>
              <w:t>单位</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FFFFFF"/>
            <w:vAlign w:val="center"/>
          </w:tcPr>
          <w:p>
            <w:pPr>
              <w:keepNext w:val="0"/>
              <w:keepLines w:val="0"/>
              <w:widowControl/>
              <w:jc w:val="center"/>
              <w:textAlignment w:val="center"/>
            </w:pPr>
            <w:r>
              <w:rPr>
                <w:rFonts w:ascii="宋体" w:hAnsi="宋体" w:cs="宋体"/>
                <w:b/>
                <w:bCs/>
                <w:i w:val="0"/>
                <w:iCs w:val="0"/>
                <w:color w:val="535353"/>
                <w:kern w:val="0"/>
                <w:sz w:val="24"/>
                <w:szCs w:val="24"/>
                <w:u w:val="none"/>
                <w:lang w:val="en-US" w:eastAsia="zh-CN" w:bidi="ar"/>
              </w:rPr>
              <w:t>数量</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FFFFFF"/>
            <w:vAlign w:val="center"/>
          </w:tcPr>
          <w:p>
            <w:pPr>
              <w:keepNext w:val="0"/>
              <w:keepLines w:val="0"/>
              <w:widowControl/>
              <w:jc w:val="center"/>
              <w:textAlignment w:val="center"/>
            </w:pPr>
            <w:r>
              <w:rPr>
                <w:rFonts w:ascii="宋体" w:hAnsi="宋体" w:cs="宋体"/>
                <w:b/>
                <w:bCs/>
                <w:i w:val="0"/>
                <w:iCs w:val="0"/>
                <w:color w:val="535353"/>
                <w:kern w:val="0"/>
                <w:sz w:val="24"/>
                <w:szCs w:val="24"/>
                <w:u w:val="none"/>
                <w:lang w:val="en-US" w:eastAsia="zh-CN" w:bidi="ar"/>
              </w:rPr>
              <w:t>备注</w:t>
            </w: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72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枪式室内外高清红外摄像机</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大华</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DH-IPC-HFW5243M-ASL-PV-L2</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台</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10</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72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彩色半球摄像机</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大华</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sz w:val="20"/>
                <w:szCs w:val="20"/>
                <w:u w:val="none"/>
              </w:rPr>
              <w:t>DH-IPC-HDBW3233L-LS</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台</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10</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72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sz w:val="20"/>
                <w:szCs w:val="20"/>
                <w:u w:val="none"/>
                <w:lang w:eastAsia="zh-CN"/>
              </w:rPr>
              <w:t>监控存储</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大华</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DH-EVS7124S-TC</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台</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1</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73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摄像机电源</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小耳朵</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1511s</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个</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10</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74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交换机</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sz w:val="20"/>
                <w:szCs w:val="20"/>
                <w:u w:val="none"/>
                <w:lang w:val="en-US" w:eastAsia="zh-CN"/>
              </w:rPr>
              <w:t>H3C</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sz w:val="20"/>
                <w:szCs w:val="20"/>
                <w:u w:val="none"/>
              </w:rPr>
              <w:t>LS-5024PV5-EI</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台</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2</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84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光模块</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H3C</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b w:val="0"/>
                <w:bCs w:val="0"/>
                <w:i w:val="0"/>
                <w:iCs w:val="0"/>
                <w:caps w:val="0"/>
                <w:smallCaps w:val="0"/>
                <w:color w:val="666666"/>
                <w:spacing w:val="0"/>
                <w:sz w:val="21"/>
                <w:szCs w:val="21"/>
                <w:shd w:val="clear" w:fill="FFFFFF"/>
              </w:rPr>
              <w:t>SFP-GE-LX-SM1310-D</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只</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sz w:val="20"/>
                <w:szCs w:val="20"/>
                <w:u w:val="none"/>
                <w:lang w:val="en-US" w:eastAsia="zh-CN"/>
              </w:rPr>
              <w:t>4</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84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硬盘</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WD</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b w:val="0"/>
                <w:bCs w:val="0"/>
                <w:i w:val="0"/>
                <w:iCs w:val="0"/>
                <w:caps w:val="0"/>
                <w:smallCaps w:val="0"/>
                <w:color w:val="666666"/>
                <w:spacing w:val="0"/>
                <w:sz w:val="21"/>
                <w:szCs w:val="21"/>
                <w:shd w:val="clear" w:fill="FFFFFF"/>
              </w:rPr>
              <w:t>WD</w:t>
            </w:r>
            <w:r>
              <w:rPr>
                <w:rFonts w:ascii="宋体" w:hAnsi="宋体" w:eastAsia="宋体" w:cs="宋体"/>
                <w:b w:val="0"/>
                <w:bCs w:val="0"/>
                <w:i w:val="0"/>
                <w:iCs w:val="0"/>
                <w:caps w:val="0"/>
                <w:smallCaps w:val="0"/>
                <w:color w:val="666666"/>
                <w:spacing w:val="0"/>
                <w:sz w:val="21"/>
                <w:szCs w:val="21"/>
                <w:shd w:val="clear" w:fill="FFFFFF"/>
                <w:lang w:val="en-US" w:eastAsia="zh-CN"/>
              </w:rPr>
              <w:t>3</w:t>
            </w:r>
            <w:r>
              <w:rPr>
                <w:rFonts w:ascii="宋体" w:hAnsi="宋体" w:eastAsia="宋体" w:cs="宋体"/>
                <w:b w:val="0"/>
                <w:bCs w:val="0"/>
                <w:i w:val="0"/>
                <w:iCs w:val="0"/>
                <w:caps w:val="0"/>
                <w:smallCaps w:val="0"/>
                <w:color w:val="666666"/>
                <w:spacing w:val="0"/>
                <w:sz w:val="21"/>
                <w:szCs w:val="21"/>
                <w:shd w:val="clear" w:fill="FFFFFF"/>
              </w:rPr>
              <w:t>0EJRX</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块</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4</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84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硬盘</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WD</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b w:val="0"/>
                <w:bCs w:val="0"/>
                <w:i w:val="0"/>
                <w:iCs w:val="0"/>
                <w:caps w:val="0"/>
                <w:smallCaps w:val="0"/>
                <w:color w:val="666666"/>
                <w:spacing w:val="0"/>
                <w:sz w:val="21"/>
                <w:szCs w:val="21"/>
                <w:shd w:val="clear" w:fill="FFFFFF"/>
              </w:rPr>
              <w:t>WD60EJRX</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块</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i w:val="0"/>
                <w:iCs w:val="0"/>
                <w:color w:val="535353"/>
                <w:kern w:val="0"/>
                <w:sz w:val="20"/>
                <w:szCs w:val="20"/>
                <w:u w:val="none"/>
                <w:lang w:val="en-US" w:eastAsia="zh-CN" w:bidi="ar"/>
              </w:rPr>
              <w:t>4</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84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电源线</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爱普华顿</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b w:val="0"/>
                <w:bCs w:val="0"/>
                <w:i w:val="0"/>
                <w:iCs w:val="0"/>
                <w:caps w:val="0"/>
                <w:smallCaps w:val="0"/>
                <w:color w:val="666666"/>
                <w:spacing w:val="0"/>
                <w:sz w:val="21"/>
                <w:szCs w:val="21"/>
                <w:shd w:val="clear" w:fill="FFFFFF"/>
              </w:rPr>
              <w:t xml:space="preserve"> </w:t>
            </w:r>
            <w:r>
              <w:rPr>
                <w:rFonts w:ascii="宋体" w:hAnsi="宋体" w:eastAsia="宋体" w:cs="宋体"/>
                <w:b w:val="0"/>
                <w:bCs w:val="0"/>
                <w:i w:val="0"/>
                <w:iCs w:val="0"/>
                <w:caps w:val="0"/>
                <w:smallCaps w:val="0"/>
                <w:color w:val="666666"/>
                <w:spacing w:val="0"/>
                <w:sz w:val="21"/>
                <w:szCs w:val="21"/>
                <w:shd w:val="clear" w:fill="FFFFFF"/>
              </w:rPr>
              <w:t xml:space="preserve">FSP-RVV2*1.0 </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箱</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2</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84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超五类网线</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爱普华顿</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eastAsia="宋体" w:cs="宋体"/>
                <w:b w:val="0"/>
                <w:bCs w:val="0"/>
                <w:i w:val="0"/>
                <w:iCs w:val="0"/>
                <w:caps w:val="0"/>
                <w:smallCaps w:val="0"/>
                <w:color w:val="666666"/>
                <w:spacing w:val="0"/>
                <w:sz w:val="21"/>
                <w:szCs w:val="21"/>
                <w:shd w:val="clear" w:fill="FFFFFF"/>
              </w:rPr>
              <w:t>AP-5E-01</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米</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400</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r>
        <w:tblPrEx>
          <w:tblBorders>
            <w:top w:val="single" w:color="535353" w:sz="4" w:space="0"/>
            <w:left w:val="single" w:color="535353" w:sz="4" w:space="0"/>
            <w:bottom w:val="single" w:color="535353" w:sz="4" w:space="0"/>
            <w:right w:val="single" w:color="535353" w:sz="4" w:space="0"/>
            <w:insideH w:val="single" w:color="535353" w:sz="4" w:space="0"/>
            <w:insideV w:val="single" w:color="535353" w:sz="4" w:space="0"/>
          </w:tblBorders>
          <w:tblLayout w:type="fixed"/>
          <w:tblCellMar>
            <w:top w:w="0" w:type="dxa"/>
            <w:left w:w="108" w:type="dxa"/>
            <w:bottom w:w="0" w:type="dxa"/>
            <w:right w:w="108" w:type="dxa"/>
          </w:tblCellMar>
        </w:tblPrEx>
        <w:trPr>
          <w:trHeight w:val="840" w:hRule="atLeast"/>
        </w:trPr>
        <w:tc>
          <w:tcPr>
            <w:tcW w:w="1806"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Pvc管</w:t>
            </w:r>
          </w:p>
        </w:tc>
        <w:tc>
          <w:tcPr>
            <w:tcW w:w="193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华亚</w:t>
            </w:r>
          </w:p>
        </w:tc>
        <w:tc>
          <w:tcPr>
            <w:tcW w:w="2399"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b w:val="0"/>
                <w:bCs w:val="0"/>
                <w:i w:val="0"/>
                <w:iCs w:val="0"/>
                <w:caps w:val="0"/>
                <w:smallCaps w:val="0"/>
                <w:color w:val="666666"/>
                <w:spacing w:val="0"/>
                <w:sz w:val="21"/>
                <w:szCs w:val="21"/>
                <w:shd w:val="clear" w:fill="FFFFFF"/>
                <w:lang w:val="en-US" w:eastAsia="zh-CN"/>
              </w:rPr>
              <w:t>20PVC管</w:t>
            </w:r>
          </w:p>
        </w:tc>
        <w:tc>
          <w:tcPr>
            <w:tcW w:w="1472"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米</w:t>
            </w:r>
          </w:p>
        </w:tc>
        <w:tc>
          <w:tcPr>
            <w:tcW w:w="1348"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keepNext w:val="0"/>
              <w:keepLines w:val="0"/>
              <w:widowControl/>
              <w:jc w:val="center"/>
              <w:textAlignment w:val="center"/>
            </w:pPr>
            <w:r>
              <w:rPr>
                <w:rFonts w:ascii="宋体" w:hAnsi="宋体" w:cs="宋体"/>
                <w:i w:val="0"/>
                <w:iCs w:val="0"/>
                <w:color w:val="535353"/>
                <w:kern w:val="0"/>
                <w:sz w:val="20"/>
                <w:szCs w:val="20"/>
                <w:u w:val="none"/>
                <w:lang w:val="en-US" w:eastAsia="zh-CN" w:bidi="ar"/>
              </w:rPr>
              <w:t>400</w:t>
            </w:r>
          </w:p>
        </w:tc>
        <w:tc>
          <w:tcPr>
            <w:tcW w:w="1365" w:type="dxa"/>
            <w:tcBorders>
              <w:top w:val="single" w:color="535353" w:sz="4" w:space="0"/>
              <w:left w:val="single" w:color="535353" w:sz="4" w:space="0"/>
              <w:bottom w:val="single" w:color="535353" w:sz="4" w:space="0"/>
              <w:right w:val="single" w:color="535353" w:sz="4" w:space="0"/>
              <w:insideH w:val="single" w:sz="4" w:space="0"/>
              <w:insideV w:val="single" w:sz="4" w:space="0"/>
            </w:tcBorders>
            <w:shd w:val="clear" w:color="auto" w:fill="auto"/>
            <w:vAlign w:val="center"/>
          </w:tcPr>
          <w:p>
            <w:pPr>
              <w:jc w:val="center"/>
              <w:rPr>
                <w:rFonts w:ascii="宋体" w:hAnsi="宋体" w:eastAsia="宋体" w:cs="宋体"/>
                <w:i w:val="0"/>
                <w:iCs w:val="0"/>
                <w:color w:val="535353"/>
                <w:sz w:val="22"/>
                <w:szCs w:val="22"/>
                <w:u w:val="none"/>
              </w:rPr>
            </w:pPr>
          </w:p>
        </w:tc>
      </w:tr>
    </w:tbl>
    <w:p>
      <w:pPr>
        <w:keepLines w:val="0"/>
        <w:pageBreakBefore w:val="0"/>
        <w:numPr>
          <w:ilvl w:val="0"/>
          <w:numId w:val="0"/>
        </w:numPr>
        <w:bidi w:val="0"/>
        <w:snapToGrid/>
        <w:spacing w:line="360" w:lineRule="auto"/>
        <w:jc w:val="left"/>
        <w:rPr>
          <w:rFonts w:ascii="宋体" w:hAnsi="宋体" w:eastAsia="宋体" w:cs="宋体"/>
        </w:rPr>
      </w:pPr>
    </w:p>
    <w:p>
      <w:pPr>
        <w:keepLines w:val="0"/>
        <w:pageBreakBefore w:val="0"/>
        <w:bidi w:val="0"/>
        <w:snapToGrid/>
        <w:spacing w:line="360" w:lineRule="auto"/>
        <w:jc w:val="left"/>
        <w:rPr>
          <w:rFonts w:ascii="宋体" w:hAnsi="宋体" w:eastAsia="宋体" w:cs="宋体"/>
          <w:lang w:val="en-US" w:eastAsia="zh-CN"/>
        </w:rPr>
      </w:pPr>
    </w:p>
    <w:p>
      <w:pPr>
        <w:keepLines w:val="0"/>
        <w:pageBreakBefore w:val="0"/>
        <w:bidi w:val="0"/>
        <w:snapToGrid/>
        <w:spacing w:line="360" w:lineRule="auto"/>
        <w:jc w:val="left"/>
        <w:rPr>
          <w:rFonts w:ascii="宋体" w:hAnsi="宋体" w:eastAsia="宋体" w:cs="宋体"/>
          <w:lang w:val="en-US" w:eastAsia="zh-CN"/>
        </w:rPr>
      </w:pPr>
    </w:p>
    <w:p>
      <w:pPr>
        <w:keepLines w:val="0"/>
        <w:pageBreakBefore w:val="0"/>
        <w:bidi w:val="0"/>
        <w:snapToGrid/>
        <w:spacing w:line="360" w:lineRule="auto"/>
        <w:jc w:val="left"/>
        <w:rPr>
          <w:rFonts w:ascii="宋体" w:hAnsi="宋体" w:eastAsia="宋体" w:cs="宋体"/>
          <w:lang w:eastAsia="zh-CN"/>
        </w:rPr>
      </w:pPr>
    </w:p>
    <w:p>
      <w:pPr>
        <w:keepLines w:val="0"/>
        <w:pageBreakBefore w:val="0"/>
        <w:numPr>
          <w:ilvl w:val="0"/>
          <w:numId w:val="0"/>
        </w:numPr>
        <w:bidi w:val="0"/>
        <w:snapToGrid/>
        <w:spacing w:line="360" w:lineRule="auto"/>
        <w:jc w:val="left"/>
        <w:rPr>
          <w:rFonts w:ascii="宋体" w:hAnsi="宋体" w:eastAsia="宋体" w:cs="宋体"/>
        </w:rPr>
      </w:pPr>
    </w:p>
    <w:p>
      <w:pPr>
        <w:keepLines w:val="0"/>
        <w:pageBreakBefore w:val="0"/>
        <w:bidi w:val="0"/>
        <w:snapToGrid/>
        <w:spacing w:line="360" w:lineRule="auto"/>
        <w:jc w:val="left"/>
        <w:rPr>
          <w:rFonts w:ascii="宋体" w:hAnsi="宋体" w:eastAsia="宋体" w:cs="宋体"/>
          <w:sz w:val="24"/>
        </w:rPr>
      </w:pPr>
    </w:p>
    <w:p>
      <w:pPr>
        <w:keepLines w:val="0"/>
        <w:bidi w:val="0"/>
        <w:snapToGrid/>
        <w:spacing w:line="360" w:lineRule="auto"/>
        <w:jc w:val="left"/>
      </w:pPr>
    </w:p>
    <w:sectPr>
      <w:pgSz w:w="11906" w:h="16838"/>
      <w:pgMar w:top="720" w:right="720" w:bottom="720" w:left="720" w:header="0" w:footer="0" w:gutter="0"/>
      <w:pgNumType w:fmt="decimal"/>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SC Regular">
    <w:altName w:val="Segoe Print"/>
    <w:panose1 w:val="00000000000000000000"/>
    <w:charset w:val="00"/>
    <w:family w:val="auto"/>
    <w:pitch w:val="default"/>
    <w:sig w:usb0="00000000" w:usb1="00000000" w:usb2="00000000" w:usb3="00000000" w:csb0="00000000" w:csb1="00000000"/>
  </w:font>
  <w:font w:name="Liberation Sans">
    <w:altName w:val="Arial"/>
    <w:panose1 w:val="00000000000000000000"/>
    <w:charset w:val="01"/>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5"/>
      <w:numFmt w:val="decimal"/>
      <w:suff w:val="nothing"/>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53208E"/>
    <w:multiLevelType w:val="multilevel"/>
    <w:tmpl w:val="0053208E"/>
    <w:lvl w:ilvl="0" w:tentative="0">
      <w:start w:val="1"/>
      <w:numFmt w:val="decimal"/>
      <w:pStyle w:val="3"/>
      <w:lvlText w:val="%1."/>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D3C22"/>
    <w:rsid w:val="37FF24F5"/>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bidi w:val="0"/>
      <w:jc w:val="both"/>
    </w:pPr>
    <w:rPr>
      <w:rFonts w:ascii="Times New Roman" w:hAnsi="Times New Roman" w:eastAsia="宋体" w:cs="Times New Roman"/>
      <w:color w:val="auto"/>
      <w:kern w:val="2"/>
      <w:sz w:val="21"/>
      <w:szCs w:val="21"/>
      <w:lang w:val="en-US" w:eastAsia="zh-CN" w:bidi="ar-SA"/>
    </w:rPr>
  </w:style>
  <w:style w:type="paragraph" w:styleId="3">
    <w:name w:val="heading 1"/>
    <w:basedOn w:val="1"/>
    <w:next w:val="1"/>
    <w:qFormat/>
    <w:uiPriority w:val="0"/>
    <w:pPr>
      <w:keepNext/>
      <w:widowControl/>
      <w:numPr>
        <w:ilvl w:val="0"/>
        <w:numId w:val="1"/>
      </w:numPr>
      <w:overflowPunct w:val="0"/>
      <w:spacing w:before="240" w:after="60"/>
      <w:textAlignment w:val="baseline"/>
      <w:outlineLvl w:val="0"/>
    </w:pPr>
    <w:rPr>
      <w:rFonts w:ascii="宋体" w:hAnsi="宋体"/>
      <w:b/>
      <w:i/>
      <w:kern w:val="2"/>
      <w:sz w:val="24"/>
      <w:szCs w:val="20"/>
      <w:lang w:val="en-GB"/>
    </w:rPr>
  </w:style>
  <w:style w:type="paragraph" w:styleId="4">
    <w:name w:val="heading 2"/>
    <w:basedOn w:val="1"/>
    <w:next w:val="1"/>
    <w:qFormat/>
    <w:uiPriority w:val="0"/>
    <w:pPr>
      <w:keepNext/>
      <w:widowControl/>
      <w:tabs>
        <w:tab w:val="left" w:pos="0"/>
      </w:tabs>
      <w:overflowPunct w:val="0"/>
      <w:spacing w:before="0" w:afterAutospacing="1" w:line="360" w:lineRule="auto"/>
      <w:jc w:val="left"/>
      <w:textAlignment w:val="baseline"/>
      <w:outlineLvl w:val="1"/>
    </w:pPr>
    <w:rPr>
      <w:rFonts w:ascii="宋体" w:hAnsi="宋体"/>
      <w:b/>
      <w:spacing w:val="24"/>
      <w:kern w:val="0"/>
      <w:sz w:val="24"/>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index 4"/>
    <w:basedOn w:val="1"/>
    <w:next w:val="1"/>
    <w:qFormat/>
    <w:uiPriority w:val="99"/>
    <w:pPr>
      <w:ind w:left="600" w:firstLine="0"/>
    </w:pPr>
    <w:rPr>
      <w:rFonts w:ascii="Calibri" w:hAnsi="Calibri"/>
    </w:rPr>
  </w:style>
  <w:style w:type="paragraph" w:styleId="5">
    <w:name w:val="caption"/>
    <w:basedOn w:val="1"/>
    <w:next w:val="1"/>
    <w:qFormat/>
    <w:uiPriority w:val="0"/>
    <w:pPr>
      <w:suppressLineNumbers/>
      <w:spacing w:before="120" w:after="120"/>
    </w:pPr>
    <w:rPr>
      <w:rFonts w:cs="Noto Sans CJK SC Regular"/>
      <w:i/>
      <w:iCs/>
      <w:sz w:val="24"/>
      <w:szCs w:val="24"/>
    </w:rPr>
  </w:style>
  <w:style w:type="paragraph" w:styleId="6">
    <w:name w:val="Body Text"/>
    <w:basedOn w:val="1"/>
    <w:uiPriority w:val="0"/>
    <w:pPr>
      <w:widowControl/>
      <w:overflowPunct w:val="0"/>
      <w:spacing w:before="0" w:after="120" w:line="480" w:lineRule="auto"/>
      <w:ind w:firstLine="720"/>
      <w:jc w:val="left"/>
      <w:textAlignment w:val="baseline"/>
    </w:pPr>
    <w:rPr>
      <w:kern w:val="0"/>
      <w:sz w:val="20"/>
      <w:szCs w:val="20"/>
    </w:rPr>
  </w:style>
  <w:style w:type="paragraph" w:styleId="7">
    <w:name w:val="Body Text Indent"/>
    <w:basedOn w:val="6"/>
    <w:qFormat/>
    <w:uiPriority w:val="0"/>
    <w:pPr>
      <w:widowControl w:val="0"/>
      <w:overflowPunct/>
      <w:spacing w:line="240" w:lineRule="auto"/>
      <w:ind w:firstLine="420"/>
      <w:jc w:val="both"/>
      <w:textAlignment w:val="auto"/>
    </w:pPr>
    <w:rPr>
      <w:kern w:val="2"/>
      <w:sz w:val="21"/>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tabs>
        <w:tab w:val="center" w:pos="4153"/>
        <w:tab w:val="right" w:pos="8306"/>
      </w:tabs>
      <w:snapToGrid w:val="0"/>
      <w:spacing w:line="240" w:lineRule="auto"/>
      <w:jc w:val="both"/>
    </w:pPr>
    <w:rPr>
      <w:sz w:val="18"/>
    </w:rPr>
  </w:style>
  <w:style w:type="paragraph" w:styleId="10">
    <w:name w:val="List"/>
    <w:basedOn w:val="6"/>
    <w:qFormat/>
    <w:uiPriority w:val="0"/>
    <w:rPr>
      <w:rFonts w:cs="Noto Sans CJK SC Regular"/>
    </w:rPr>
  </w:style>
  <w:style w:type="paragraph" w:styleId="11">
    <w:name w:val="Normal (Web)"/>
    <w:basedOn w:val="1"/>
    <w:qFormat/>
    <w:uiPriority w:val="0"/>
    <w:pPr>
      <w:widowControl/>
      <w:spacing w:beforeAutospacing="1" w:afterAutospacing="1"/>
      <w:jc w:val="left"/>
    </w:pPr>
    <w:rPr>
      <w:rFonts w:ascii="宋体" w:hAnsi="宋体"/>
      <w:kern w:val="0"/>
      <w:sz w:val="24"/>
    </w:rPr>
  </w:style>
  <w:style w:type="character" w:customStyle="1" w:styleId="14">
    <w:name w:val="ListLabel 1"/>
    <w:qFormat/>
    <w:uiPriority w:val="0"/>
    <w:rPr>
      <w:lang w:val="en-GB"/>
    </w:rPr>
  </w:style>
  <w:style w:type="character" w:customStyle="1" w:styleId="15">
    <w:name w:val="ListLabel 2"/>
    <w:qFormat/>
    <w:uiPriority w:val="0"/>
    <w:rPr>
      <w:rFonts w:cs="Wingdings"/>
    </w:rPr>
  </w:style>
  <w:style w:type="character" w:customStyle="1" w:styleId="16">
    <w:name w:val="ListLabel 3"/>
    <w:qFormat/>
    <w:uiPriority w:val="0"/>
    <w:rPr>
      <w:rFonts w:cs="Wingdings"/>
    </w:rPr>
  </w:style>
  <w:style w:type="character" w:customStyle="1" w:styleId="17">
    <w:name w:val="ListLabel 4"/>
    <w:qFormat/>
    <w:uiPriority w:val="0"/>
    <w:rPr>
      <w:rFonts w:cs="Wingdings"/>
    </w:rPr>
  </w:style>
  <w:style w:type="character" w:customStyle="1" w:styleId="18">
    <w:name w:val="ListLabel 5"/>
    <w:qFormat/>
    <w:uiPriority w:val="0"/>
    <w:rPr>
      <w:rFonts w:cs="Wingdings"/>
    </w:rPr>
  </w:style>
  <w:style w:type="character" w:customStyle="1" w:styleId="19">
    <w:name w:val="ListLabel 6"/>
    <w:qFormat/>
    <w:uiPriority w:val="0"/>
    <w:rPr>
      <w:rFonts w:cs="Wingdings"/>
    </w:rPr>
  </w:style>
  <w:style w:type="character" w:customStyle="1" w:styleId="20">
    <w:name w:val="ListLabel 7"/>
    <w:qFormat/>
    <w:uiPriority w:val="0"/>
    <w:rPr>
      <w:rFonts w:cs="Wingdings"/>
    </w:rPr>
  </w:style>
  <w:style w:type="character" w:customStyle="1" w:styleId="21">
    <w:name w:val="ListLabel 8"/>
    <w:qFormat/>
    <w:uiPriority w:val="0"/>
    <w:rPr>
      <w:rFonts w:cs="Wingdings"/>
    </w:rPr>
  </w:style>
  <w:style w:type="character" w:customStyle="1" w:styleId="22">
    <w:name w:val="ListLabel 9"/>
    <w:qFormat/>
    <w:uiPriority w:val="0"/>
    <w:rPr>
      <w:rFonts w:cs="Wingdings"/>
    </w:rPr>
  </w:style>
  <w:style w:type="character" w:customStyle="1" w:styleId="23">
    <w:name w:val="ListLabel 10"/>
    <w:qFormat/>
    <w:uiPriority w:val="0"/>
    <w:rPr>
      <w:rFonts w:cs="Wingdings"/>
    </w:rPr>
  </w:style>
  <w:style w:type="paragraph" w:customStyle="1" w:styleId="24">
    <w:name w:val="标题样式"/>
    <w:basedOn w:val="1"/>
    <w:next w:val="6"/>
    <w:qFormat/>
    <w:uiPriority w:val="0"/>
    <w:pPr>
      <w:keepNext/>
      <w:spacing w:before="240" w:after="120"/>
    </w:pPr>
    <w:rPr>
      <w:rFonts w:ascii="Liberation Sans" w:hAnsi="Liberation Sans" w:eastAsia="微软雅黑" w:cs="Noto Sans CJK SC Regular"/>
      <w:sz w:val="28"/>
      <w:szCs w:val="28"/>
    </w:rPr>
  </w:style>
  <w:style w:type="paragraph" w:customStyle="1" w:styleId="25">
    <w:name w:val="索引"/>
    <w:basedOn w:val="1"/>
    <w:qFormat/>
    <w:uiPriority w:val="0"/>
    <w:pPr>
      <w:suppressLineNumbers/>
    </w:pPr>
    <w:rPr>
      <w:rFonts w:cs="Noto Sans CJK SC Regular"/>
    </w:rPr>
  </w:style>
  <w:style w:type="paragraph" w:styleId="26">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1068</Words>
  <Characters>1237</Characters>
  <Paragraphs>85</Paragraphs>
  <TotalTime>12</TotalTime>
  <ScaleCrop>false</ScaleCrop>
  <LinksUpToDate>false</LinksUpToDate>
  <CharactersWithSpaces>1321</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2021-06-06T11:54:00Z</dcterms:created>
  <dc:creator>刘磊</dc:creator>
  <cp:lastModifiedBy>Administrator</cp:lastModifiedBy>
  <cp:lastPrinted>2021-06-06T14:49:00Z</cp:lastPrinted>
  <dcterms:modified xsi:type="dcterms:W3CDTF">2021-09-24T07:25:28Z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6F6709AC27CF484C867F9430531FEA32</vt:lpwstr>
  </property>
  <property fmtid="{D5CDD505-2E9C-101B-9397-08002B2CF9AE}" pid="4" name="KSOProductBuildVer">
    <vt:lpwstr>2052-10.1.0.7698</vt:lpwstr>
  </property>
  <property fmtid="{D5CDD505-2E9C-101B-9397-08002B2CF9AE}" pid="5" name="LinksUpToDate">
    <vt:bool>false</vt:bool>
  </property>
  <property fmtid="{D5CDD505-2E9C-101B-9397-08002B2CF9AE}" pid="6" name="ScaleCrop">
    <vt:bool>false</vt:bool>
  </property>
</Properties>
</file>