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F13020D">
      <w:pPr>
        <w:keepLines w:val="0"/>
        <w:pageBreakBefore w:val="0"/>
        <w:kinsoku/>
        <w:wordWrap/>
        <w:topLinePunct w:val="0"/>
        <w:bidi w:val="0"/>
        <w:snapToGrid/>
        <w:spacing w:line="360" w:lineRule="auto"/>
        <w:jc w:val="center"/>
        <w:rPr>
          <w:rFonts w:hint="default" w:ascii="宋体" w:hAnsi="宋体" w:eastAsia="宋体" w:cs="宋体"/>
          <w:color w:val="auto"/>
          <w:sz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color w:val="auto"/>
          <w:sz w:val="32"/>
          <w:szCs w:val="32"/>
          <w:lang w:val="en-US" w:eastAsia="zh-CN"/>
        </w:rPr>
        <w:t>芜湖市第五人民医院</w:t>
      </w:r>
      <w:r>
        <w:rPr>
          <w:rFonts w:hint="eastAsia" w:ascii="宋体" w:hAnsi="宋体" w:cs="宋体"/>
          <w:b/>
          <w:bCs/>
          <w:color w:val="auto"/>
          <w:sz w:val="32"/>
          <w:szCs w:val="32"/>
          <w:lang w:val="en-US" w:eastAsia="zh-CN"/>
        </w:rPr>
        <w:t>高空抛物摄像机采购需求</w:t>
      </w:r>
    </w:p>
    <w:p w14:paraId="42F85895">
      <w:pPr>
        <w:pStyle w:val="3"/>
        <w:keepLines w:val="0"/>
        <w:pageBreakBefore w:val="0"/>
        <w:numPr>
          <w:ilvl w:val="0"/>
          <w:numId w:val="0"/>
        </w:numPr>
        <w:kinsoku/>
        <w:wordWrap/>
        <w:topLinePunct w:val="0"/>
        <w:bidi w:val="0"/>
        <w:snapToGrid/>
        <w:spacing w:before="240" w:after="120" w:afterAutospacing="0" w:line="360" w:lineRule="auto"/>
        <w:ind w:leftChars="0" w:firstLine="289" w:firstLineChars="100"/>
        <w:rPr>
          <w:rFonts w:hint="eastAsia" w:ascii="宋体" w:hAnsi="宋体" w:eastAsia="宋体" w:cs="宋体"/>
        </w:rPr>
      </w:pPr>
      <w:bookmarkStart w:id="0" w:name="_Toc65479663"/>
      <w:bookmarkStart w:id="1" w:name="_Toc286569421"/>
      <w:bookmarkStart w:id="2" w:name="_Toc286736426"/>
      <w:bookmarkStart w:id="3" w:name="_Toc343005372"/>
      <w:bookmarkStart w:id="4" w:name="_Toc343006313"/>
      <w:bookmarkStart w:id="5" w:name="_Toc286569963"/>
      <w:bookmarkStart w:id="6" w:name="_Toc334510464"/>
      <w:bookmarkStart w:id="7" w:name="_Toc342999153"/>
      <w:bookmarkStart w:id="8" w:name="_Toc286569373"/>
      <w:bookmarkStart w:id="9" w:name="_Toc233101990"/>
      <w:bookmarkStart w:id="10" w:name="_Toc286736346"/>
      <w:bookmarkStart w:id="11" w:name="_Toc286736506"/>
      <w:r>
        <w:rPr>
          <w:rFonts w:hint="eastAsia" w:ascii="宋体" w:hAnsi="宋体" w:eastAsia="宋体" w:cs="宋体"/>
          <w:lang w:val="en-US" w:eastAsia="zh-CN"/>
        </w:rPr>
        <w:t>1、</w:t>
      </w:r>
      <w:r>
        <w:rPr>
          <w:rFonts w:hint="eastAsia" w:ascii="宋体" w:hAnsi="宋体" w:eastAsia="宋体" w:cs="宋体"/>
        </w:rPr>
        <w:t>项目背景</w:t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bookmarkEnd w:id="11"/>
    </w:p>
    <w:p w14:paraId="4DADE770">
      <w:pPr>
        <w:pStyle w:val="3"/>
        <w:keepLines w:val="0"/>
        <w:pageBreakBefore w:val="0"/>
        <w:numPr>
          <w:ilvl w:val="0"/>
          <w:numId w:val="0"/>
        </w:numPr>
        <w:kinsoku/>
        <w:wordWrap/>
        <w:topLinePunct w:val="0"/>
        <w:bidi w:val="0"/>
        <w:snapToGrid/>
        <w:spacing w:before="240" w:after="120" w:afterAutospacing="0" w:line="360" w:lineRule="auto"/>
        <w:ind w:leftChars="0" w:firstLine="210" w:firstLineChars="100"/>
        <w:rPr>
          <w:rFonts w:hint="eastAsia" w:ascii="宋体" w:hAnsi="宋体" w:eastAsia="宋体" w:cs="宋体"/>
          <w:b w:val="0"/>
          <w:color w:val="000000"/>
          <w:spacing w:val="0"/>
          <w:kern w:val="2"/>
          <w:sz w:val="21"/>
          <w:szCs w:val="21"/>
          <w:lang w:val="en-US" w:eastAsia="zh-CN" w:bidi="ar-SA"/>
        </w:rPr>
      </w:pPr>
      <w:bookmarkStart w:id="12" w:name="_Toc65479664"/>
      <w:r>
        <w:rPr>
          <w:rFonts w:hint="eastAsia" w:ascii="宋体" w:hAnsi="宋体" w:eastAsia="宋体" w:cs="宋体"/>
          <w:b w:val="0"/>
          <w:color w:val="000000"/>
          <w:spacing w:val="0"/>
          <w:kern w:val="2"/>
          <w:sz w:val="21"/>
          <w:szCs w:val="21"/>
          <w:lang w:val="en-US" w:eastAsia="zh-CN" w:bidi="ar-SA"/>
        </w:rPr>
        <w:t>因我院综合楼住院部近期发生高空抛物事件，为有效阻止潜在的高空抛物行为，减少类似事件的发生‌，同时可对高空抛物事件进行溯源，找到高空抛物者；我院拟在综合楼南、北、西三面安装高空抛物摄像机共计6台。</w:t>
      </w:r>
    </w:p>
    <w:p w14:paraId="6087EB32">
      <w:pPr>
        <w:pStyle w:val="3"/>
        <w:keepLines w:val="0"/>
        <w:pageBreakBefore w:val="0"/>
        <w:numPr>
          <w:ilvl w:val="0"/>
          <w:numId w:val="0"/>
        </w:numPr>
        <w:kinsoku/>
        <w:wordWrap/>
        <w:topLinePunct w:val="0"/>
        <w:bidi w:val="0"/>
        <w:snapToGrid/>
        <w:spacing w:before="240" w:after="120" w:afterAutospacing="0" w:line="360" w:lineRule="auto"/>
        <w:ind w:leftChars="0" w:firstLine="289" w:firstLineChars="100"/>
        <w:rPr>
          <w:rFonts w:hint="eastAsia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  <w:lang w:val="en-US" w:eastAsia="zh-CN"/>
        </w:rPr>
        <w:t>2、</w:t>
      </w:r>
      <w:r>
        <w:rPr>
          <w:rFonts w:hint="eastAsia" w:ascii="宋体" w:hAnsi="宋体" w:eastAsia="宋体" w:cs="宋体"/>
          <w:lang w:eastAsia="zh-CN"/>
        </w:rPr>
        <w:t>项目目标</w:t>
      </w:r>
      <w:bookmarkEnd w:id="12"/>
    </w:p>
    <w:p w14:paraId="1B26E7DF">
      <w:pPr>
        <w:pStyle w:val="3"/>
        <w:keepLines w:val="0"/>
        <w:pageBreakBefore w:val="0"/>
        <w:numPr>
          <w:ilvl w:val="0"/>
          <w:numId w:val="0"/>
        </w:numPr>
        <w:kinsoku/>
        <w:wordWrap/>
        <w:topLinePunct w:val="0"/>
        <w:bidi w:val="0"/>
        <w:snapToGrid/>
        <w:spacing w:before="240" w:after="120" w:afterAutospacing="0" w:line="360" w:lineRule="auto"/>
        <w:ind w:leftChars="0" w:firstLine="210" w:firstLineChars="100"/>
        <w:rPr>
          <w:rFonts w:hint="default" w:ascii="宋体" w:hAnsi="宋体" w:eastAsia="宋体" w:cs="宋体"/>
          <w:b w:val="0"/>
          <w:color w:val="000000"/>
          <w:spacing w:val="0"/>
          <w:kern w:val="2"/>
          <w:sz w:val="21"/>
          <w:szCs w:val="21"/>
          <w:lang w:val="en-US" w:eastAsia="zh-CN" w:bidi="ar-SA"/>
        </w:rPr>
      </w:pPr>
      <w:bookmarkStart w:id="13" w:name="_Toc65479665"/>
      <w:r>
        <w:rPr>
          <w:rFonts w:hint="eastAsia" w:ascii="宋体" w:hAnsi="宋体" w:eastAsia="宋体" w:cs="宋体"/>
          <w:b w:val="0"/>
          <w:color w:val="000000"/>
          <w:spacing w:val="0"/>
          <w:kern w:val="2"/>
          <w:sz w:val="21"/>
          <w:szCs w:val="21"/>
          <w:lang w:val="en-US" w:eastAsia="zh-CN" w:bidi="ar-SA"/>
        </w:rPr>
        <w:t>所装设备需实现对所有楼层全覆盖，可有效追溯高空抛物点，找到相关责任人。</w:t>
      </w:r>
    </w:p>
    <w:p w14:paraId="4D051FB4">
      <w:pPr>
        <w:pStyle w:val="3"/>
        <w:keepLines w:val="0"/>
        <w:pageBreakBefore w:val="0"/>
        <w:numPr>
          <w:ilvl w:val="0"/>
          <w:numId w:val="0"/>
        </w:numPr>
        <w:kinsoku/>
        <w:wordWrap/>
        <w:topLinePunct w:val="0"/>
        <w:bidi w:val="0"/>
        <w:snapToGrid/>
        <w:spacing w:before="240" w:after="120" w:afterAutospacing="0" w:line="360" w:lineRule="auto"/>
        <w:ind w:leftChars="0" w:firstLine="289" w:firstLineChars="100"/>
        <w:rPr>
          <w:rFonts w:hint="eastAsia" w:ascii="宋体" w:hAnsi="宋体" w:eastAsia="宋体" w:cs="宋体"/>
          <w:lang w:eastAsia="zh-CN"/>
        </w:rPr>
      </w:pPr>
      <w:r>
        <w:rPr>
          <w:rFonts w:hint="eastAsia" w:ascii="宋体" w:hAnsi="宋体" w:eastAsia="宋体" w:cs="宋体"/>
          <w:lang w:val="en-US" w:eastAsia="zh-CN"/>
        </w:rPr>
        <w:t>3、</w:t>
      </w:r>
      <w:bookmarkEnd w:id="13"/>
      <w:r>
        <w:rPr>
          <w:rFonts w:hint="eastAsia" w:ascii="宋体" w:hAnsi="宋体" w:eastAsia="宋体" w:cs="宋体"/>
          <w:lang w:val="en-US" w:eastAsia="zh-CN"/>
        </w:rPr>
        <w:t>项目</w:t>
      </w:r>
      <w:r>
        <w:rPr>
          <w:rFonts w:hint="eastAsia" w:ascii="宋体" w:hAnsi="宋体" w:eastAsia="宋体" w:cs="宋体"/>
          <w:lang w:eastAsia="zh-CN"/>
        </w:rPr>
        <w:t>限价</w:t>
      </w:r>
    </w:p>
    <w:p w14:paraId="2E0EC941">
      <w:pPr>
        <w:keepLines w:val="0"/>
        <w:pageBreakBefore w:val="0"/>
        <w:kinsoku/>
        <w:wordWrap/>
        <w:topLinePunct w:val="0"/>
        <w:bidi w:val="0"/>
        <w:snapToGrid/>
        <w:spacing w:line="360" w:lineRule="auto"/>
        <w:ind w:firstLine="420" w:firstLineChars="200"/>
        <w:rPr>
          <w:rFonts w:hint="eastAsia" w:ascii="宋体" w:hAnsi="宋体" w:eastAsia="宋体" w:cs="宋体"/>
          <w:color w:val="auto"/>
          <w:highlight w:val="none"/>
          <w:shd w:val="clear" w:color="auto" w:fill="FFFFFF"/>
        </w:rPr>
      </w:pPr>
      <w:r>
        <w:rPr>
          <w:rFonts w:hint="eastAsia" w:ascii="宋体" w:hAnsi="宋体" w:eastAsia="宋体" w:cs="宋体"/>
          <w:color w:val="auto"/>
          <w:highlight w:val="none"/>
          <w:shd w:val="clear" w:color="auto" w:fill="FFFFFF"/>
          <w:lang w:val="en-US" w:eastAsia="zh-CN"/>
        </w:rPr>
        <w:t>1</w:t>
      </w:r>
      <w:r>
        <w:rPr>
          <w:rFonts w:hint="eastAsia" w:ascii="宋体" w:hAnsi="宋体" w:eastAsia="宋体" w:cs="宋体"/>
          <w:color w:val="auto"/>
          <w:highlight w:val="none"/>
          <w:shd w:val="clear" w:color="auto" w:fill="FFFFFF"/>
        </w:rPr>
        <w:t>、预算金额：</w:t>
      </w:r>
      <w:r>
        <w:rPr>
          <w:rFonts w:hint="eastAsia" w:ascii="宋体" w:hAnsi="宋体" w:cs="宋体"/>
          <w:color w:val="auto"/>
          <w:highlight w:val="none"/>
          <w:shd w:val="clear" w:color="auto" w:fill="FFFFFF"/>
          <w:lang w:val="en-US" w:eastAsia="zh-CN"/>
        </w:rPr>
        <w:t>180</w:t>
      </w:r>
      <w:r>
        <w:rPr>
          <w:rFonts w:hint="eastAsia" w:ascii="宋体" w:hAnsi="宋体" w:eastAsia="宋体" w:cs="宋体"/>
          <w:color w:val="auto"/>
          <w:highlight w:val="none"/>
          <w:shd w:val="clear" w:color="auto" w:fill="FFFFFF"/>
          <w:lang w:val="en-US" w:eastAsia="zh-CN"/>
        </w:rPr>
        <w:t>00元</w:t>
      </w:r>
      <w:r>
        <w:rPr>
          <w:rFonts w:hint="eastAsia" w:ascii="宋体" w:hAnsi="宋体" w:eastAsia="宋体" w:cs="宋体"/>
          <w:color w:val="auto"/>
          <w:highlight w:val="none"/>
          <w:shd w:val="clear" w:color="auto" w:fill="FFFFFF"/>
        </w:rPr>
        <w:t> </w:t>
      </w:r>
      <w:bookmarkStart w:id="15" w:name="_GoBack"/>
      <w:bookmarkEnd w:id="15"/>
    </w:p>
    <w:p w14:paraId="0A5FC8D9">
      <w:pPr>
        <w:keepLines w:val="0"/>
        <w:pageBreakBefore w:val="0"/>
        <w:kinsoku/>
        <w:wordWrap/>
        <w:topLinePunct w:val="0"/>
        <w:bidi w:val="0"/>
        <w:snapToGrid/>
        <w:spacing w:line="360" w:lineRule="auto"/>
        <w:ind w:firstLine="241" w:firstLineChars="100"/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</w:pPr>
      <w:bookmarkStart w:id="14" w:name="_Toc65479666"/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4、系统维护</w:t>
      </w:r>
      <w:r>
        <w:rPr>
          <w:rFonts w:hint="eastAsia" w:ascii="宋体" w:hAnsi="宋体" w:eastAsia="宋体" w:cs="宋体"/>
          <w:b/>
          <w:bCs/>
          <w:sz w:val="24"/>
          <w:szCs w:val="24"/>
          <w:lang w:eastAsia="zh-CN"/>
        </w:rPr>
        <w:t>要求</w:t>
      </w:r>
      <w:bookmarkEnd w:id="14"/>
    </w:p>
    <w:p w14:paraId="38BD7553">
      <w:pPr>
        <w:keepLines w:val="0"/>
        <w:pageBreakBefore w:val="0"/>
        <w:numPr>
          <w:ilvl w:val="0"/>
          <w:numId w:val="2"/>
        </w:numPr>
        <w:kinsoku/>
        <w:wordWrap/>
        <w:topLinePunct w:val="0"/>
        <w:bidi w:val="0"/>
        <w:snapToGrid/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乙方需提供7*24小时的现场售后服务，并在接到甲方报修电话后，</w:t>
      </w:r>
      <w:r>
        <w:rPr>
          <w:rFonts w:hint="eastAsia" w:ascii="宋体" w:hAnsi="宋体" w:eastAsia="宋体" w:cs="宋体"/>
          <w:lang w:val="en-US" w:eastAsia="zh-CN"/>
        </w:rPr>
        <w:t>2</w:t>
      </w:r>
      <w:r>
        <w:rPr>
          <w:rFonts w:hint="eastAsia" w:ascii="宋体" w:hAnsi="宋体" w:eastAsia="宋体" w:cs="宋体"/>
        </w:rPr>
        <w:t>个小时内赶到故障现场。</w:t>
      </w:r>
    </w:p>
    <w:p w14:paraId="5A126FB6">
      <w:pPr>
        <w:keepLines w:val="0"/>
        <w:pageBreakBefore w:val="0"/>
        <w:numPr>
          <w:ilvl w:val="0"/>
          <w:numId w:val="2"/>
        </w:numPr>
        <w:kinsoku/>
        <w:wordWrap/>
        <w:topLinePunct w:val="0"/>
        <w:bidi w:val="0"/>
        <w:snapToGrid/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lang w:val="en-US" w:eastAsia="zh-CN"/>
        </w:rPr>
        <w:t>遇到紧急事件时，乙方应在1</w:t>
      </w:r>
      <w:r>
        <w:rPr>
          <w:rFonts w:hint="eastAsia" w:ascii="宋体" w:hAnsi="宋体" w:eastAsia="宋体" w:cs="宋体"/>
        </w:rPr>
        <w:t>个小时内赶</w:t>
      </w:r>
      <w:r>
        <w:rPr>
          <w:rFonts w:hint="eastAsia" w:ascii="宋体" w:hAnsi="宋体" w:eastAsia="宋体" w:cs="宋体"/>
          <w:lang w:val="en-US" w:eastAsia="zh-CN"/>
        </w:rPr>
        <w:t>到现场并配合甲方完成相关工作。</w:t>
      </w:r>
    </w:p>
    <w:p w14:paraId="49767DC8">
      <w:pPr>
        <w:keepLines w:val="0"/>
        <w:pageBreakBefore w:val="0"/>
        <w:numPr>
          <w:ilvl w:val="0"/>
          <w:numId w:val="2"/>
        </w:numPr>
        <w:kinsoku/>
        <w:wordWrap/>
        <w:topLinePunct w:val="0"/>
        <w:bidi w:val="0"/>
        <w:snapToGrid/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lang w:val="en-US" w:eastAsia="zh-CN"/>
        </w:rPr>
        <w:t>乙方需对现有线路进行规范化整理，每个线路需前后端标签完整，并出具相应</w:t>
      </w:r>
      <w:r>
        <w:rPr>
          <w:rFonts w:hint="eastAsia" w:ascii="宋体" w:hAnsi="宋体" w:cs="宋体"/>
          <w:lang w:val="en-US" w:eastAsia="zh-CN"/>
        </w:rPr>
        <w:t>系统</w:t>
      </w:r>
      <w:r>
        <w:rPr>
          <w:rFonts w:hint="eastAsia" w:ascii="宋体" w:hAnsi="宋体" w:eastAsia="宋体" w:cs="宋体"/>
          <w:lang w:val="en-US" w:eastAsia="zh-CN"/>
        </w:rPr>
        <w:t>图及走线图</w:t>
      </w:r>
      <w:r>
        <w:rPr>
          <w:rFonts w:hint="eastAsia" w:ascii="宋体" w:hAnsi="宋体" w:cs="宋体"/>
          <w:lang w:val="en-US" w:eastAsia="zh-CN"/>
        </w:rPr>
        <w:t>。</w:t>
      </w:r>
    </w:p>
    <w:p w14:paraId="1A52554B">
      <w:pPr>
        <w:keepLines w:val="0"/>
        <w:pageBreakBefore w:val="0"/>
        <w:numPr>
          <w:ilvl w:val="0"/>
          <w:numId w:val="2"/>
        </w:numPr>
        <w:kinsoku/>
        <w:wordWrap/>
        <w:topLinePunct w:val="0"/>
        <w:bidi w:val="0"/>
        <w:snapToGrid/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  <w:lang w:val="en-US" w:eastAsia="zh-CN"/>
        </w:rPr>
        <w:t>若设备出现损坏或不能满足正常使用时，乙方应及时提供备品备件。</w:t>
      </w:r>
    </w:p>
    <w:p w14:paraId="504B4F76">
      <w:pPr>
        <w:keepLines w:val="0"/>
        <w:pageBreakBefore w:val="0"/>
        <w:numPr>
          <w:ilvl w:val="0"/>
          <w:numId w:val="2"/>
        </w:numPr>
        <w:kinsoku/>
        <w:wordWrap/>
        <w:topLinePunct w:val="0"/>
        <w:bidi w:val="0"/>
        <w:snapToGrid/>
        <w:spacing w:line="360" w:lineRule="auto"/>
        <w:rPr>
          <w:rFonts w:hint="eastAsia" w:ascii="宋体" w:hAnsi="宋体" w:eastAsia="宋体" w:cs="宋体"/>
        </w:rPr>
      </w:pPr>
      <w:r>
        <w:rPr>
          <w:rFonts w:hint="eastAsia" w:ascii="宋体" w:hAnsi="宋体" w:eastAsia="宋体" w:cs="宋体"/>
        </w:rPr>
        <w:t>线缆敷设等工作，应严格按照国家弱电安装相关部分执行。</w:t>
      </w:r>
    </w:p>
    <w:p w14:paraId="7CC3A67C">
      <w:pPr>
        <w:pStyle w:val="3"/>
        <w:keepLines w:val="0"/>
        <w:pageBreakBefore w:val="0"/>
        <w:numPr>
          <w:ilvl w:val="0"/>
          <w:numId w:val="3"/>
        </w:numPr>
        <w:kinsoku/>
        <w:wordWrap/>
        <w:topLinePunct w:val="0"/>
        <w:bidi w:val="0"/>
        <w:snapToGrid/>
        <w:spacing w:before="240" w:after="120" w:afterAutospacing="0" w:line="360" w:lineRule="auto"/>
        <w:ind w:leftChars="0" w:firstLine="289" w:firstLineChars="100"/>
        <w:rPr>
          <w:rFonts w:hint="eastAsia" w:ascii="宋体" w:hAnsi="宋体" w:eastAsia="宋体" w:cs="宋体"/>
          <w:lang w:val="en-US" w:eastAsia="zh-CN"/>
        </w:rPr>
      </w:pPr>
      <w:r>
        <w:rPr>
          <w:rFonts w:hint="eastAsia" w:cs="宋体"/>
          <w:lang w:val="en-US" w:eastAsia="zh-CN"/>
        </w:rPr>
        <w:t>具体参数需求如下：</w:t>
      </w:r>
    </w:p>
    <w:p w14:paraId="64E34B81">
      <w:pPr>
        <w:rPr>
          <w:rFonts w:hint="eastAsia"/>
          <w:lang w:val="en-US" w:eastAsia="zh-CN"/>
        </w:rPr>
      </w:pPr>
    </w:p>
    <w:tbl>
      <w:tblPr>
        <w:tblStyle w:val="10"/>
        <w:tblW w:w="14688" w:type="dxa"/>
        <w:tblInd w:w="-80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00"/>
        <w:gridCol w:w="1226"/>
        <w:gridCol w:w="8123"/>
        <w:gridCol w:w="866"/>
        <w:gridCol w:w="1488"/>
        <w:gridCol w:w="1685"/>
      </w:tblGrid>
      <w:tr w14:paraId="7646F3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1038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华文细黑" w:hAnsi="华文细黑" w:eastAsia="华文细黑" w:cs="华文细黑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1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7A25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名称</w:t>
            </w:r>
          </w:p>
        </w:tc>
        <w:tc>
          <w:tcPr>
            <w:tcW w:w="8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15B7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技术参数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00A0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单位</w:t>
            </w:r>
          </w:p>
        </w:tc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8298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数量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F108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b/>
                <w:bCs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备注</w:t>
            </w:r>
          </w:p>
        </w:tc>
      </w:tr>
      <w:tr w14:paraId="15860D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F202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82C1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高空抛物摄像机</w:t>
            </w:r>
          </w:p>
        </w:tc>
        <w:tc>
          <w:tcPr>
            <w:tcW w:w="8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6FFB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传感器类型：1/1.8英寸CMOS；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像素：400万；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最大分辨率：2688×1520；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最低照度：0.001lux（彩色模式）；0.0001lux（黑白模式）；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镜头类型：定焦；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镜头焦距：3.6mm；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镜头光圈：F1.0；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视场角：水平：95°；垂直：51°；对角：116°；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高空抛物：抛物检测；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智能编码：H.264:支持；H.265:支持；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AI编码：H.264:支持（压缩率≥25%）；H.265:支持（压缩率≥25%）；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宽动态：120dB；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走廊模式：90°/270°（在2688×1520分辨率及以下支持）；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报警事件：网络断开；IP冲突；非法访问；动态检测；视频遮挡；电压检测；场景变更；安全异常；抛物检测；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接入标准：ONVIF（Profile S &amp; Profile G &amp; Profile T）；CGI；GB/T28181-2022（双国标）；大华云联；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预览最大用户数：20个（总带宽：64M）；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除雾功能：支持；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供电方式：DC12V/PoE；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防护等级：IP67；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防腐蚀等级：普通防护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0F8C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台</w:t>
            </w:r>
          </w:p>
        </w:tc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9001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9B25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镜头焦距：3.6mm；</w:t>
            </w:r>
          </w:p>
        </w:tc>
      </w:tr>
      <w:tr w14:paraId="69832F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281F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781F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高空抛物摄像机</w:t>
            </w:r>
          </w:p>
        </w:tc>
        <w:tc>
          <w:tcPr>
            <w:tcW w:w="8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FB44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传感器类型：1/1.8英寸CMOS；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像素：400万；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最大分辨率：2688×1520；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最低照度：0.001lux（彩色模式）；0.0001lux（黑白模式）；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镜头类型：定焦；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镜头焦距：6mm；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镜头光圈：F1.0；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视场角：水平：58°；垂直：31°；对角：69°；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高空抛物：抛物检测；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智能编码：H.264:支持；H.265:支持；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AI编码：H.264:支持（压缩率≥25%）；H.265:支持（压缩率≥25%）；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宽动态：120dB；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走廊模式：90°/270°（在2688×1520分辨率及以下支持）；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报警事件：网络断开；IP冲突；非法访问；动态检测；视频遮挡；电压检测；场景变更；安全异常；抛物检测；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接入标准：ONVIF（Profile S &amp; Profile G &amp; Profile T）；CGI；GB/T28181-2022（双国标）；大华云联；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预览最大用户数：20个（总带宽：64M）；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除雾功能：支持；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供电方式：DC12V/PoE；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防护等级：IP67；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防腐蚀等级：普通防护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5588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台</w:t>
            </w:r>
          </w:p>
        </w:tc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59AB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2B5E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镜头焦距：6mm；</w:t>
            </w:r>
          </w:p>
        </w:tc>
      </w:tr>
      <w:tr w14:paraId="74E156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7B06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D54A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高空抛物管理一体机</w:t>
            </w:r>
          </w:p>
        </w:tc>
        <w:tc>
          <w:tcPr>
            <w:tcW w:w="8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905C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主处理器：工业级微控制器；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操作系统：嵌入式Linux操作系统；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后智能分析：支持后智能人脸检测、人脸识别、周界防范、智能动检；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前智能分析：支持前智能人脸检测、人脸识别、视频结构化、周界防范、智能动检、立体行为分析、人像检测、人群分布、人数统计、热度图、车牌识别、车辆密度；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支持高空抛物检测的网络摄像机，触发高空抛物报警事件时，通过客户端软件可设置报警提示信息，联动录像、弹出报警画面、声音告警、发送邮件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接入路数：32路；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分辨率：32MP;24MP;16MP;12MP;8MP;6MP;5MP;4MP;3MP;1080p;720p;960p;D1;CIF；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解码能力：不开智能：2路32MP@25fps；2路24MP@25fps；4路16MP@30fps；5路12MP@30fps；8路8MP@30fps；10路6MP@30fps；12路5MP@30fps；16路4MP@30fps；32路1080p@30fps；开智能：1路32MP@25fps；1路24MP@25fps；2路16MP@30fps；4路12MP@30fps；6路8MP@30fps；8路6MP@30fps；8路5MP@30fps；12路4MP@30fps；24路1080p@30fps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报警输入：16路；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报警输出：6路，其中5路继电器输出，1路12V1A ctrl输出；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硬盘接口：5个SATA，单盘最大16T；内含1块6T盘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RS-485接口：1个，1个半双工串行AB接口；</w:t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网络接口：2个（10M/100M/1000M以太网口，RJ-45）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82F2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块</w:t>
            </w:r>
          </w:p>
        </w:tc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1148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A0B89B">
            <w:pPr>
              <w:jc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 w14:paraId="2F740D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A746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D50A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六类网线</w:t>
            </w:r>
          </w:p>
        </w:tc>
        <w:tc>
          <w:tcPr>
            <w:tcW w:w="8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DE324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国标6类网线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6998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箱</w:t>
            </w:r>
          </w:p>
        </w:tc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660F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741592">
            <w:pPr>
              <w:jc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 w14:paraId="71947B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27D4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EF5D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电源线</w:t>
            </w:r>
          </w:p>
        </w:tc>
        <w:tc>
          <w:tcPr>
            <w:tcW w:w="8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9144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国标全铜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00F5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米</w:t>
            </w:r>
          </w:p>
        </w:tc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8C2B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FD9F44">
            <w:pPr>
              <w:jc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 w14:paraId="69940A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1AD8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84D1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立杆</w:t>
            </w:r>
          </w:p>
        </w:tc>
        <w:tc>
          <w:tcPr>
            <w:tcW w:w="8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689B4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根据现场情况定制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7107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个</w:t>
            </w:r>
          </w:p>
        </w:tc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16E9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90AF38">
            <w:pPr>
              <w:jc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 w14:paraId="60BEF0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86DD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1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DB0E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破路恢复</w:t>
            </w:r>
          </w:p>
        </w:tc>
        <w:tc>
          <w:tcPr>
            <w:tcW w:w="8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09E93B">
            <w:pPr>
              <w:jc w:val="left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77DD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</w:t>
            </w:r>
          </w:p>
        </w:tc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7FB1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9CE8E3">
            <w:pPr>
              <w:jc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 w14:paraId="708D4F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2F38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1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AE36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安装辅材</w:t>
            </w:r>
          </w:p>
        </w:tc>
        <w:tc>
          <w:tcPr>
            <w:tcW w:w="8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2366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含PVC管、扎带、水晶头等</w:t>
            </w: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FE02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</w:t>
            </w:r>
          </w:p>
        </w:tc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A8C7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DB7342">
            <w:pPr>
              <w:jc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 w14:paraId="6EE049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9963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1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F8F1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安装调试费</w:t>
            </w:r>
          </w:p>
        </w:tc>
        <w:tc>
          <w:tcPr>
            <w:tcW w:w="8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8B61F5">
            <w:pPr>
              <w:jc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C72E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</w:t>
            </w:r>
          </w:p>
        </w:tc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D41F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BCFAA3">
            <w:pPr>
              <w:jc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  <w:tr w14:paraId="0AC10B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3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C5AB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2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2809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小计</w:t>
            </w:r>
          </w:p>
        </w:tc>
        <w:tc>
          <w:tcPr>
            <w:tcW w:w="81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E322D1">
            <w:pPr>
              <w:jc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6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65535F">
            <w:pPr>
              <w:jc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4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AF808E">
            <w:pPr>
              <w:jc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AC9536">
            <w:pPr>
              <w:jc w:val="center"/>
              <w:rPr>
                <w:rFonts w:hint="default" w:ascii="华文细黑" w:hAnsi="华文细黑" w:eastAsia="华文细黑" w:cs="华文细黑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</w:tr>
    </w:tbl>
    <w:p w14:paraId="0050C577">
      <w:pPr>
        <w:numPr>
          <w:ilvl w:val="0"/>
          <w:numId w:val="0"/>
        </w:numPr>
        <w:rPr>
          <w:rFonts w:hint="eastAsia" w:ascii="宋体" w:hAnsi="宋体" w:eastAsia="宋体" w:cs="宋体"/>
          <w:lang w:eastAsia="zh-CN"/>
        </w:rPr>
      </w:pPr>
    </w:p>
    <w:p w14:paraId="73842052">
      <w:pPr>
        <w:keepLines w:val="0"/>
        <w:pageBreakBefore w:val="0"/>
        <w:kinsoku/>
        <w:wordWrap/>
        <w:topLinePunct w:val="0"/>
        <w:bidi w:val="0"/>
        <w:snapToGrid/>
        <w:spacing w:line="360" w:lineRule="auto"/>
        <w:rPr>
          <w:rFonts w:hint="eastAsia" w:ascii="宋体" w:hAnsi="宋体" w:eastAsia="宋体" w:cs="宋体"/>
          <w:sz w:val="24"/>
        </w:rPr>
      </w:pPr>
    </w:p>
    <w:sectPr>
      <w:pgSz w:w="16838" w:h="11906" w:orient="landscape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细黑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E095341"/>
    <w:multiLevelType w:val="multilevel"/>
    <w:tmpl w:val="5E095341"/>
    <w:lvl w:ilvl="0" w:tentative="0">
      <w:start w:val="1"/>
      <w:numFmt w:val="decimal"/>
      <w:pStyle w:val="2"/>
      <w:lvlText w:val="%1."/>
      <w:lvlJc w:val="left"/>
      <w:pPr>
        <w:tabs>
          <w:tab w:val="left" w:pos="0"/>
        </w:tabs>
        <w:ind w:left="0" w:firstLine="0"/>
      </w:pPr>
      <w:rPr>
        <w:rFonts w:hint="eastAsia"/>
      </w:rPr>
    </w:lvl>
    <w:lvl w:ilvl="1" w:tentative="0">
      <w:start w:val="1"/>
      <w:numFmt w:val="decimal"/>
      <w:lvlText w:val="%1.%2"/>
      <w:lvlJc w:val="left"/>
      <w:pPr>
        <w:tabs>
          <w:tab w:val="left" w:pos="0"/>
        </w:tabs>
        <w:ind w:left="0" w:firstLine="0"/>
      </w:pPr>
      <w:rPr>
        <w:rFonts w:hint="eastAsia"/>
        <w:lang w:val="en-GB"/>
      </w:rPr>
    </w:lvl>
    <w:lvl w:ilvl="2" w:tentative="0">
      <w:start w:val="1"/>
      <w:numFmt w:val="decimal"/>
      <w:lvlText w:val="%1.%2.%3"/>
      <w:lvlJc w:val="left"/>
      <w:pPr>
        <w:tabs>
          <w:tab w:val="left" w:pos="253"/>
        </w:tabs>
        <w:ind w:left="253" w:firstLine="0"/>
      </w:pPr>
      <w:rPr>
        <w:rFonts w:hint="eastAsia"/>
      </w:rPr>
    </w:lvl>
    <w:lvl w:ilvl="3" w:tentative="0">
      <w:start w:val="1"/>
      <w:numFmt w:val="decimal"/>
      <w:lvlText w:val="%1.%2.%3.%4"/>
      <w:lvlJc w:val="left"/>
      <w:pPr>
        <w:tabs>
          <w:tab w:val="left" w:pos="0"/>
        </w:tabs>
        <w:ind w:left="0" w:firstLine="0"/>
      </w:pPr>
      <w:rPr>
        <w:rFonts w:hint="eastAsia"/>
      </w:rPr>
    </w:lvl>
    <w:lvl w:ilvl="4" w:tentative="0">
      <w:start w:val="1"/>
      <w:numFmt w:val="decimal"/>
      <w:lvlText w:val="%1.%2.%3.%4.%5"/>
      <w:lvlJc w:val="left"/>
      <w:pPr>
        <w:tabs>
          <w:tab w:val="left" w:pos="0"/>
        </w:tabs>
        <w:ind w:left="0" w:firstLine="0"/>
      </w:pPr>
      <w:rPr>
        <w:rFonts w:hint="eastAsia"/>
      </w:rPr>
    </w:lvl>
    <w:lvl w:ilvl="5" w:tentative="0">
      <w:start w:val="1"/>
      <w:numFmt w:val="decimal"/>
      <w:lvlText w:val="%1.%2.%3.%4.%5.%6"/>
      <w:lvlJc w:val="left"/>
      <w:pPr>
        <w:tabs>
          <w:tab w:val="left" w:pos="0"/>
        </w:tabs>
        <w:ind w:left="0" w:firstLine="0"/>
      </w:pPr>
      <w:rPr>
        <w:rFonts w:hint="eastAsia"/>
      </w:rPr>
    </w:lvl>
    <w:lvl w:ilvl="6" w:tentative="0">
      <w:start w:val="1"/>
      <w:numFmt w:val="decimal"/>
      <w:lvlText w:val="%1.%2.%3.%4.%5.%6.%7"/>
      <w:lvlJc w:val="left"/>
      <w:pPr>
        <w:tabs>
          <w:tab w:val="left" w:pos="0"/>
        </w:tabs>
        <w:ind w:left="0" w:firstLine="0"/>
      </w:pPr>
      <w:rPr>
        <w:rFonts w:hint="eastAsia"/>
      </w:rPr>
    </w:lvl>
    <w:lvl w:ilvl="7" w:tentative="0">
      <w:start w:val="1"/>
      <w:numFmt w:val="decimal"/>
      <w:lvlText w:val="%1.%2.%3.%4.%5.%6.%7.%8"/>
      <w:lvlJc w:val="left"/>
      <w:pPr>
        <w:tabs>
          <w:tab w:val="left" w:pos="0"/>
        </w:tabs>
        <w:ind w:left="0" w:firstLine="0"/>
      </w:pPr>
      <w:rPr>
        <w:rFonts w:hint="eastAsia"/>
      </w:rPr>
    </w:lvl>
    <w:lvl w:ilvl="8" w:tentative="0">
      <w:start w:val="1"/>
      <w:numFmt w:val="decimal"/>
      <w:lvlText w:val="%1.%2.%3.%4.%5.%6.%7.%8.%9"/>
      <w:lvlJc w:val="left"/>
      <w:pPr>
        <w:tabs>
          <w:tab w:val="left" w:pos="0"/>
        </w:tabs>
        <w:ind w:left="0" w:firstLine="0"/>
      </w:pPr>
      <w:rPr>
        <w:rFonts w:hint="eastAsia"/>
      </w:rPr>
    </w:lvl>
  </w:abstractNum>
  <w:abstractNum w:abstractNumId="1">
    <w:nsid w:val="60E43528"/>
    <w:multiLevelType w:val="singleLevel"/>
    <w:tmpl w:val="60E43528"/>
    <w:lvl w:ilvl="0" w:tentative="0">
      <w:start w:val="5"/>
      <w:numFmt w:val="decimal"/>
      <w:suff w:val="nothing"/>
      <w:lvlText w:val="%1、"/>
      <w:lvlJc w:val="left"/>
    </w:lvl>
  </w:abstractNum>
  <w:abstractNum w:abstractNumId="2">
    <w:nsid w:val="6C7E6686"/>
    <w:multiLevelType w:val="multilevel"/>
    <w:tmpl w:val="6C7E6686"/>
    <w:lvl w:ilvl="0" w:tentative="0">
      <w:start w:val="1"/>
      <w:numFmt w:val="bullet"/>
      <w:lvlText w:val=""/>
      <w:lvlJc w:val="left"/>
      <w:pPr>
        <w:ind w:left="42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3780" w:hanging="420"/>
      </w:pPr>
      <w:rPr>
        <w:rFonts w:hint="default" w:ascii="Wingdings" w:hAnsi="Wingdings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ZhNTY5Y2Q5ODgyZmZiMmQyOTgyZGQ3MzhiZjM3YjQifQ=="/>
  </w:docVars>
  <w:rsids>
    <w:rsidRoot w:val="00000000"/>
    <w:rsid w:val="06EE4366"/>
    <w:rsid w:val="17AF181C"/>
    <w:rsid w:val="184076DE"/>
    <w:rsid w:val="1EFC56C3"/>
    <w:rsid w:val="1F8B7260"/>
    <w:rsid w:val="20047E9D"/>
    <w:rsid w:val="245D76D6"/>
    <w:rsid w:val="42A31E57"/>
    <w:rsid w:val="446156F9"/>
    <w:rsid w:val="4D3927F4"/>
    <w:rsid w:val="575F6553"/>
    <w:rsid w:val="668F3D3B"/>
    <w:rsid w:val="752326B7"/>
    <w:rsid w:val="7CFEAC93"/>
    <w:rsid w:val="7D6E1D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qFormat="1" w:unhideWhenUsed="0" w:uiPriority="99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widowControl/>
      <w:numPr>
        <w:ilvl w:val="0"/>
        <w:numId w:val="1"/>
      </w:numPr>
      <w:overflowPunct w:val="0"/>
      <w:autoSpaceDE w:val="0"/>
      <w:autoSpaceDN w:val="0"/>
      <w:adjustRightInd w:val="0"/>
      <w:spacing w:before="240" w:after="60"/>
      <w:textAlignment w:val="baseline"/>
      <w:outlineLvl w:val="0"/>
    </w:pPr>
    <w:rPr>
      <w:rFonts w:ascii="宋体" w:hAnsi="Arial"/>
      <w:b/>
      <w:i/>
      <w:kern w:val="28"/>
      <w:sz w:val="24"/>
      <w:szCs w:val="20"/>
      <w:lang w:val="en-GB"/>
    </w:rPr>
  </w:style>
  <w:style w:type="paragraph" w:styleId="3">
    <w:name w:val="heading 2"/>
    <w:basedOn w:val="1"/>
    <w:next w:val="1"/>
    <w:qFormat/>
    <w:uiPriority w:val="0"/>
    <w:pPr>
      <w:keepNext/>
      <w:widowControl/>
      <w:tabs>
        <w:tab w:val="left" w:pos="0"/>
      </w:tabs>
      <w:overflowPunct w:val="0"/>
      <w:autoSpaceDE w:val="0"/>
      <w:autoSpaceDN w:val="0"/>
      <w:adjustRightInd w:val="0"/>
      <w:spacing w:after="100" w:afterAutospacing="1" w:line="360" w:lineRule="auto"/>
      <w:jc w:val="left"/>
      <w:textAlignment w:val="baseline"/>
      <w:outlineLvl w:val="1"/>
    </w:pPr>
    <w:rPr>
      <w:rFonts w:ascii="宋体" w:hAnsi="宋体"/>
      <w:b/>
      <w:spacing w:val="24"/>
      <w:kern w:val="0"/>
      <w:sz w:val="24"/>
    </w:rPr>
  </w:style>
  <w:style w:type="character" w:default="1" w:styleId="11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uiPriority w:val="0"/>
    <w:pPr>
      <w:widowControl/>
      <w:overflowPunct w:val="0"/>
      <w:autoSpaceDE w:val="0"/>
      <w:autoSpaceDN w:val="0"/>
      <w:adjustRightInd w:val="0"/>
      <w:spacing w:after="120" w:line="480" w:lineRule="auto"/>
      <w:ind w:firstLine="720"/>
      <w:jc w:val="left"/>
      <w:textAlignment w:val="baseline"/>
    </w:pPr>
    <w:rPr>
      <w:kern w:val="0"/>
      <w:sz w:val="20"/>
      <w:szCs w:val="20"/>
    </w:rPr>
  </w:style>
  <w:style w:type="paragraph" w:styleId="5">
    <w:name w:val="index 4"/>
    <w:basedOn w:val="1"/>
    <w:next w:val="1"/>
    <w:qFormat/>
    <w:uiPriority w:val="99"/>
    <w:pPr>
      <w:ind w:left="600" w:leftChars="600"/>
    </w:pPr>
    <w:rPr>
      <w:rFonts w:ascii="Calibri" w:hAnsi="Calibri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/>
      <w:kern w:val="0"/>
      <w:sz w:val="24"/>
    </w:rPr>
  </w:style>
  <w:style w:type="paragraph" w:styleId="9">
    <w:name w:val="Body Text First Indent"/>
    <w:basedOn w:val="4"/>
    <w:qFormat/>
    <w:uiPriority w:val="0"/>
    <w:pPr>
      <w:widowControl w:val="0"/>
      <w:overflowPunct/>
      <w:autoSpaceDE/>
      <w:autoSpaceDN/>
      <w:adjustRightInd/>
      <w:spacing w:line="240" w:lineRule="auto"/>
      <w:ind w:firstLine="420" w:firstLineChars="100"/>
      <w:jc w:val="both"/>
      <w:textAlignment w:val="auto"/>
    </w:pPr>
    <w:rPr>
      <w:kern w:val="2"/>
      <w:sz w:val="21"/>
      <w:szCs w:val="24"/>
    </w:rPr>
  </w:style>
  <w:style w:type="paragraph" w:styleId="12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1484</Words>
  <Characters>2026</Characters>
  <Lines>0</Lines>
  <Paragraphs>0</Paragraphs>
  <TotalTime>3</TotalTime>
  <ScaleCrop>false</ScaleCrop>
  <LinksUpToDate>false</LinksUpToDate>
  <CharactersWithSpaces>2042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2021-06-07T03:54:00Z</dcterms:created>
  <dc:creator>刘磊</dc:creator>
  <cp:lastModifiedBy>WPS_1178278155</cp:lastModifiedBy>
  <cp:lastPrinted>2021-06-07T06:49:00Z</cp:lastPrinted>
  <dcterms:modified xsi:type="dcterms:W3CDTF">2024-11-12T02:32:17Z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EF0B7DB99938F2173FAE326772F2971A_43</vt:lpwstr>
  </property>
</Properties>
</file>